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04F" w:rsidRDefault="00C2004F" w:rsidP="00741C53">
      <w:r>
        <w:rPr>
          <w:noProof/>
        </w:rPr>
        <w:drawing>
          <wp:anchor distT="0" distB="0" distL="114300" distR="114300" simplePos="0" relativeHeight="251659264" behindDoc="1" locked="0" layoutInCell="1" allowOverlap="1" wp14:anchorId="5782502F" wp14:editId="3D4AFD15">
            <wp:simplePos x="0" y="0"/>
            <wp:positionH relativeFrom="margin">
              <wp:align>right</wp:align>
            </wp:positionH>
            <wp:positionV relativeFrom="paragraph">
              <wp:posOffset>104775</wp:posOffset>
            </wp:positionV>
            <wp:extent cx="2194560" cy="531820"/>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bla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94560" cy="53182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00DBD896" wp14:editId="0D10B0B0">
            <wp:simplePos x="0" y="0"/>
            <wp:positionH relativeFrom="margin">
              <wp:align>left</wp:align>
            </wp:positionH>
            <wp:positionV relativeFrom="paragraph">
              <wp:posOffset>0</wp:posOffset>
            </wp:positionV>
            <wp:extent cx="2194560" cy="682286"/>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O-EN-B-H.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94560" cy="682286"/>
                    </a:xfrm>
                    <a:prstGeom prst="rect">
                      <a:avLst/>
                    </a:prstGeom>
                  </pic:spPr>
                </pic:pic>
              </a:graphicData>
            </a:graphic>
            <wp14:sizeRelH relativeFrom="page">
              <wp14:pctWidth>0</wp14:pctWidth>
            </wp14:sizeRelH>
            <wp14:sizeRelV relativeFrom="page">
              <wp14:pctHeight>0</wp14:pctHeight>
            </wp14:sizeRelV>
          </wp:anchor>
        </w:drawing>
      </w:r>
    </w:p>
    <w:p w:rsidR="00C2004F" w:rsidRDefault="00C2004F" w:rsidP="00741C53"/>
    <w:p w:rsidR="00C2004F" w:rsidRDefault="00C2004F" w:rsidP="00741C53"/>
    <w:p w:rsidR="00C2004F" w:rsidRPr="00053D29" w:rsidRDefault="00C2004F" w:rsidP="00741C53">
      <w:pPr>
        <w:rPr>
          <w:rFonts w:ascii="Century" w:hAnsi="Century"/>
          <w:sz w:val="24"/>
          <w:szCs w:val="24"/>
        </w:rPr>
      </w:pPr>
    </w:p>
    <w:p w:rsidR="00C2004F" w:rsidRPr="00053D29" w:rsidRDefault="00C2004F" w:rsidP="00741C53">
      <w:pPr>
        <w:rPr>
          <w:rFonts w:ascii="Century" w:hAnsi="Century"/>
          <w:sz w:val="24"/>
          <w:szCs w:val="24"/>
        </w:rPr>
      </w:pPr>
      <w:r w:rsidRPr="00053D29">
        <w:rPr>
          <w:rFonts w:ascii="Century" w:hAnsi="Century"/>
          <w:sz w:val="24"/>
          <w:szCs w:val="24"/>
        </w:rPr>
        <w:t>03 April 2014</w:t>
      </w:r>
    </w:p>
    <w:p w:rsidR="00002B11" w:rsidRPr="00053D29" w:rsidRDefault="00002B11" w:rsidP="00205042">
      <w:pPr>
        <w:rPr>
          <w:rFonts w:ascii="Century" w:hAnsi="Century"/>
          <w:sz w:val="24"/>
          <w:szCs w:val="24"/>
        </w:rPr>
      </w:pPr>
    </w:p>
    <w:p w:rsidR="00205042" w:rsidRPr="00053D29" w:rsidRDefault="006A6874" w:rsidP="00205042">
      <w:pPr>
        <w:rPr>
          <w:rFonts w:ascii="Century" w:hAnsi="Century"/>
          <w:sz w:val="24"/>
          <w:szCs w:val="24"/>
        </w:rPr>
      </w:pPr>
      <w:r w:rsidRPr="00053D29">
        <w:rPr>
          <w:rFonts w:ascii="Century" w:hAnsi="Century"/>
          <w:sz w:val="24"/>
          <w:szCs w:val="24"/>
        </w:rPr>
        <w:t xml:space="preserve">Dear </w:t>
      </w:r>
      <w:proofErr w:type="spellStart"/>
      <w:r w:rsidR="00C2004F" w:rsidRPr="00053D29">
        <w:rPr>
          <w:rFonts w:ascii="Century" w:hAnsi="Century"/>
          <w:sz w:val="24"/>
          <w:szCs w:val="24"/>
        </w:rPr>
        <w:t>Dr</w:t>
      </w:r>
      <w:proofErr w:type="spellEnd"/>
      <w:r w:rsidR="00053D29">
        <w:rPr>
          <w:rFonts w:ascii="Century" w:hAnsi="Century"/>
          <w:sz w:val="24"/>
          <w:szCs w:val="24"/>
        </w:rPr>
        <w:t xml:space="preserve"> </w:t>
      </w:r>
      <w:proofErr w:type="spellStart"/>
      <w:r w:rsidR="00053D29" w:rsidRPr="00053D29">
        <w:rPr>
          <w:rFonts w:ascii="Century" w:hAnsi="Century"/>
          <w:sz w:val="24"/>
          <w:szCs w:val="24"/>
        </w:rPr>
        <w:t>Sunita</w:t>
      </w:r>
      <w:proofErr w:type="spellEnd"/>
      <w:r w:rsidR="00053D29" w:rsidRPr="00053D29">
        <w:rPr>
          <w:rFonts w:ascii="Century" w:hAnsi="Century"/>
          <w:sz w:val="24"/>
          <w:szCs w:val="24"/>
        </w:rPr>
        <w:t xml:space="preserve"> </w:t>
      </w:r>
      <w:proofErr w:type="spellStart"/>
      <w:r w:rsidR="00053D29" w:rsidRPr="00053D29">
        <w:rPr>
          <w:rFonts w:ascii="Century" w:hAnsi="Century"/>
          <w:sz w:val="24"/>
          <w:szCs w:val="24"/>
        </w:rPr>
        <w:t>Kishor</w:t>
      </w:r>
      <w:proofErr w:type="spellEnd"/>
      <w:r w:rsidR="00053D29" w:rsidRPr="00053D29">
        <w:rPr>
          <w:rFonts w:ascii="Century" w:hAnsi="Century"/>
          <w:sz w:val="24"/>
          <w:szCs w:val="24"/>
        </w:rPr>
        <w:t xml:space="preserve"> </w:t>
      </w:r>
      <w:r w:rsidRPr="00053D29">
        <w:rPr>
          <w:rFonts w:ascii="Century" w:hAnsi="Century"/>
          <w:sz w:val="24"/>
          <w:szCs w:val="24"/>
        </w:rPr>
        <w:t xml:space="preserve">and </w:t>
      </w:r>
      <w:proofErr w:type="spellStart"/>
      <w:r w:rsidR="00C2004F" w:rsidRPr="00053D29">
        <w:rPr>
          <w:rFonts w:ascii="Century" w:hAnsi="Century"/>
          <w:sz w:val="24"/>
          <w:szCs w:val="24"/>
        </w:rPr>
        <w:t>Dr</w:t>
      </w:r>
      <w:proofErr w:type="spellEnd"/>
      <w:r w:rsidR="00C2004F" w:rsidRPr="00053D29">
        <w:rPr>
          <w:rFonts w:ascii="Century" w:hAnsi="Century"/>
          <w:sz w:val="24"/>
          <w:szCs w:val="24"/>
        </w:rPr>
        <w:t xml:space="preserve"> </w:t>
      </w:r>
      <w:r w:rsidRPr="00053D29">
        <w:rPr>
          <w:rFonts w:ascii="Century" w:hAnsi="Century"/>
          <w:sz w:val="24"/>
          <w:szCs w:val="24"/>
        </w:rPr>
        <w:t xml:space="preserve">Attila </w:t>
      </w:r>
      <w:proofErr w:type="spellStart"/>
      <w:r w:rsidRPr="00053D29">
        <w:rPr>
          <w:rFonts w:ascii="Century" w:hAnsi="Century"/>
          <w:sz w:val="24"/>
          <w:szCs w:val="24"/>
        </w:rPr>
        <w:t>Hancioglu</w:t>
      </w:r>
      <w:proofErr w:type="spellEnd"/>
      <w:r w:rsidR="00002B11">
        <w:rPr>
          <w:rFonts w:ascii="Century" w:hAnsi="Century"/>
          <w:sz w:val="24"/>
          <w:szCs w:val="24"/>
        </w:rPr>
        <w:t>:</w:t>
      </w:r>
    </w:p>
    <w:p w:rsidR="004B76DF" w:rsidRPr="00053D29" w:rsidRDefault="00205042" w:rsidP="00205042">
      <w:pPr>
        <w:rPr>
          <w:rFonts w:ascii="Century" w:hAnsi="Century"/>
          <w:sz w:val="24"/>
          <w:szCs w:val="24"/>
        </w:rPr>
      </w:pPr>
      <w:r w:rsidRPr="00053D29">
        <w:rPr>
          <w:rFonts w:ascii="Century" w:hAnsi="Century"/>
          <w:sz w:val="24"/>
          <w:szCs w:val="24"/>
        </w:rPr>
        <w:t xml:space="preserve">Results from the </w:t>
      </w:r>
      <w:r w:rsidR="00F32844" w:rsidRPr="00053D29">
        <w:rPr>
          <w:rFonts w:ascii="Century" w:hAnsi="Century"/>
          <w:sz w:val="24"/>
          <w:szCs w:val="24"/>
        </w:rPr>
        <w:t xml:space="preserve">USAID-supported </w:t>
      </w:r>
      <w:r w:rsidRPr="00053D29">
        <w:rPr>
          <w:rFonts w:ascii="Century" w:hAnsi="Century"/>
          <w:sz w:val="24"/>
          <w:szCs w:val="24"/>
        </w:rPr>
        <w:t xml:space="preserve">Demographic and Health Surveys </w:t>
      </w:r>
      <w:r w:rsidR="004B76DF" w:rsidRPr="00053D29">
        <w:rPr>
          <w:rFonts w:ascii="Century" w:hAnsi="Century"/>
          <w:sz w:val="24"/>
          <w:szCs w:val="24"/>
        </w:rPr>
        <w:t xml:space="preserve">(DHS) </w:t>
      </w:r>
      <w:r w:rsidR="006A6874" w:rsidRPr="00053D29">
        <w:rPr>
          <w:rFonts w:ascii="Century" w:hAnsi="Century"/>
          <w:sz w:val="24"/>
          <w:szCs w:val="24"/>
        </w:rPr>
        <w:t xml:space="preserve">and UNICEF </w:t>
      </w:r>
      <w:r w:rsidR="00F32844" w:rsidRPr="00053D29">
        <w:rPr>
          <w:rFonts w:ascii="Century" w:hAnsi="Century"/>
          <w:sz w:val="24"/>
          <w:szCs w:val="24"/>
        </w:rPr>
        <w:t xml:space="preserve">supported </w:t>
      </w:r>
      <w:r w:rsidR="006A6874" w:rsidRPr="00053D29">
        <w:rPr>
          <w:rFonts w:ascii="Century" w:hAnsi="Century"/>
          <w:sz w:val="24"/>
          <w:szCs w:val="24"/>
        </w:rPr>
        <w:t xml:space="preserve">Multiple Indicator Cluster Surveys </w:t>
      </w:r>
      <w:r w:rsidR="004B76DF" w:rsidRPr="00053D29">
        <w:rPr>
          <w:rFonts w:ascii="Century" w:hAnsi="Century"/>
          <w:sz w:val="24"/>
          <w:szCs w:val="24"/>
        </w:rPr>
        <w:t xml:space="preserve">(MICS) </w:t>
      </w:r>
      <w:r w:rsidRPr="00053D29">
        <w:rPr>
          <w:rFonts w:ascii="Century" w:hAnsi="Century"/>
          <w:sz w:val="24"/>
          <w:szCs w:val="24"/>
        </w:rPr>
        <w:t xml:space="preserve">have provided invaluable information over the years not only to national Ministries of Health and Development but also to the broader international immunization community of researchers, policy makers and those providing technical and financial support to national immunization systems.  </w:t>
      </w:r>
      <w:r w:rsidR="004B76DF" w:rsidRPr="00053D29">
        <w:rPr>
          <w:rFonts w:ascii="Century" w:hAnsi="Century"/>
          <w:sz w:val="24"/>
          <w:szCs w:val="24"/>
        </w:rPr>
        <w:t>We would like to express our appreciation for your continued efforts and would like to suggest some changes to the collection, analysis and presentation of the immunization information resulting from your surveys.</w:t>
      </w:r>
      <w:r w:rsidRPr="00053D29">
        <w:rPr>
          <w:rFonts w:ascii="Century" w:hAnsi="Century"/>
          <w:sz w:val="24"/>
          <w:szCs w:val="24"/>
        </w:rPr>
        <w:t xml:space="preserve"> As you </w:t>
      </w:r>
      <w:r w:rsidR="004B76DF" w:rsidRPr="00053D29">
        <w:rPr>
          <w:rFonts w:ascii="Century" w:hAnsi="Century"/>
          <w:sz w:val="24"/>
          <w:szCs w:val="24"/>
        </w:rPr>
        <w:t xml:space="preserve">may </w:t>
      </w:r>
      <w:r w:rsidRPr="00053D29">
        <w:rPr>
          <w:rFonts w:ascii="Century" w:hAnsi="Century"/>
          <w:sz w:val="24"/>
          <w:szCs w:val="24"/>
        </w:rPr>
        <w:t>know</w:t>
      </w:r>
      <w:r w:rsidR="00F32844" w:rsidRPr="00053D29">
        <w:rPr>
          <w:rFonts w:ascii="Century" w:hAnsi="Century"/>
          <w:sz w:val="24"/>
          <w:szCs w:val="24"/>
        </w:rPr>
        <w:t>,</w:t>
      </w:r>
      <w:r w:rsidRPr="00053D29">
        <w:rPr>
          <w:rFonts w:ascii="Century" w:hAnsi="Century"/>
          <w:sz w:val="24"/>
          <w:szCs w:val="24"/>
        </w:rPr>
        <w:t xml:space="preserve"> the immunization landscape is changing significantly with the increased </w:t>
      </w:r>
      <w:r w:rsidR="007E5562" w:rsidRPr="00053D29">
        <w:rPr>
          <w:rFonts w:ascii="Century" w:hAnsi="Century"/>
          <w:sz w:val="24"/>
          <w:szCs w:val="24"/>
        </w:rPr>
        <w:t xml:space="preserve">availability of new vaccines, new national and international initiatives and new sources of funding. </w:t>
      </w:r>
    </w:p>
    <w:p w:rsidR="004B76DF" w:rsidRPr="00053D29" w:rsidRDefault="004B76DF" w:rsidP="00205042">
      <w:pPr>
        <w:rPr>
          <w:rFonts w:ascii="Century" w:hAnsi="Century"/>
          <w:sz w:val="24"/>
          <w:szCs w:val="24"/>
        </w:rPr>
      </w:pPr>
      <w:r w:rsidRPr="00053D29">
        <w:rPr>
          <w:rFonts w:ascii="Century" w:hAnsi="Century"/>
          <w:sz w:val="24"/>
          <w:szCs w:val="24"/>
        </w:rPr>
        <w:t>In September 2012 the WHO and UNICEF working group for monitoring immunization coverage held a consultation with representatives of ICF International, the Global MICS coordinator and other UNICEF staff, and epidemiologist</w:t>
      </w:r>
      <w:r w:rsidR="00F32844" w:rsidRPr="00053D29">
        <w:rPr>
          <w:rFonts w:ascii="Century" w:hAnsi="Century"/>
          <w:sz w:val="24"/>
          <w:szCs w:val="24"/>
        </w:rPr>
        <w:t>s</w:t>
      </w:r>
      <w:r w:rsidRPr="00053D29">
        <w:rPr>
          <w:rFonts w:ascii="Century" w:hAnsi="Century"/>
          <w:sz w:val="24"/>
          <w:szCs w:val="24"/>
        </w:rPr>
        <w:t xml:space="preserve"> and statisticians from the United States of America’s Centers for Disease Control and Prevention to review the use of household and community surveys to monitor immunization </w:t>
      </w:r>
      <w:proofErr w:type="spellStart"/>
      <w:r w:rsidRPr="00053D29">
        <w:rPr>
          <w:rFonts w:ascii="Century" w:hAnsi="Century"/>
          <w:sz w:val="24"/>
          <w:szCs w:val="24"/>
        </w:rPr>
        <w:t>programme</w:t>
      </w:r>
      <w:proofErr w:type="spellEnd"/>
      <w:r w:rsidRPr="00053D29">
        <w:rPr>
          <w:rFonts w:ascii="Century" w:hAnsi="Century"/>
          <w:sz w:val="24"/>
          <w:szCs w:val="24"/>
        </w:rPr>
        <w:t xml:space="preserve"> performance. We attach a copy of the consultation report</w:t>
      </w:r>
      <w:r w:rsidR="00F32844" w:rsidRPr="00053D29">
        <w:rPr>
          <w:rFonts w:ascii="Century" w:hAnsi="Century"/>
          <w:sz w:val="24"/>
          <w:szCs w:val="24"/>
        </w:rPr>
        <w:t xml:space="preserve"> for your convenience</w:t>
      </w:r>
      <w:r w:rsidRPr="00053D29">
        <w:rPr>
          <w:rFonts w:ascii="Century" w:hAnsi="Century"/>
          <w:sz w:val="24"/>
          <w:szCs w:val="24"/>
        </w:rPr>
        <w:t xml:space="preserve">. Below we submit for your consideration recommendations from this consultation and additional reflections that we feel would improve the usefulness of your surveys for monitoring immunization </w:t>
      </w:r>
      <w:proofErr w:type="spellStart"/>
      <w:r w:rsidRPr="00053D29">
        <w:rPr>
          <w:rFonts w:ascii="Century" w:hAnsi="Century"/>
          <w:sz w:val="24"/>
          <w:szCs w:val="24"/>
        </w:rPr>
        <w:t>programme</w:t>
      </w:r>
      <w:proofErr w:type="spellEnd"/>
      <w:r w:rsidRPr="00053D29">
        <w:rPr>
          <w:rFonts w:ascii="Century" w:hAnsi="Century"/>
          <w:sz w:val="24"/>
          <w:szCs w:val="24"/>
        </w:rPr>
        <w:t xml:space="preserve"> performance. </w:t>
      </w:r>
    </w:p>
    <w:p w:rsidR="007E5562" w:rsidRPr="00053D29" w:rsidRDefault="006C6D7D" w:rsidP="007E5562">
      <w:pPr>
        <w:pStyle w:val="ListParagraph"/>
        <w:numPr>
          <w:ilvl w:val="0"/>
          <w:numId w:val="2"/>
        </w:numPr>
        <w:rPr>
          <w:rFonts w:ascii="Century" w:hAnsi="Century"/>
          <w:sz w:val="24"/>
          <w:szCs w:val="24"/>
        </w:rPr>
      </w:pPr>
      <w:r w:rsidRPr="00053D29">
        <w:rPr>
          <w:rFonts w:ascii="Century" w:hAnsi="Century"/>
          <w:b/>
          <w:sz w:val="24"/>
          <w:szCs w:val="24"/>
        </w:rPr>
        <w:t>Search local facility registries for documented evidence of vaccinations</w:t>
      </w:r>
      <w:r w:rsidR="007E5562" w:rsidRPr="00053D29">
        <w:rPr>
          <w:rFonts w:ascii="Century" w:hAnsi="Century"/>
          <w:b/>
          <w:sz w:val="24"/>
          <w:szCs w:val="24"/>
        </w:rPr>
        <w:t>:</w:t>
      </w:r>
      <w:r w:rsidR="007E5562" w:rsidRPr="00053D29">
        <w:rPr>
          <w:rFonts w:ascii="Century" w:hAnsi="Century"/>
          <w:sz w:val="24"/>
          <w:szCs w:val="24"/>
        </w:rPr>
        <w:t xml:space="preserve"> Traditionally </w:t>
      </w:r>
      <w:r w:rsidR="00D909BD" w:rsidRPr="00053D29">
        <w:rPr>
          <w:rFonts w:ascii="Century" w:hAnsi="Century"/>
          <w:sz w:val="24"/>
          <w:szCs w:val="24"/>
        </w:rPr>
        <w:t>information on the child’s vaccination history has</w:t>
      </w:r>
      <w:r w:rsidR="007E5562" w:rsidRPr="00053D29">
        <w:rPr>
          <w:rFonts w:ascii="Century" w:hAnsi="Century"/>
          <w:sz w:val="24"/>
          <w:szCs w:val="24"/>
        </w:rPr>
        <w:t xml:space="preserve"> been based on home-based records (e.g., vaccination card, child health card, etc.) </w:t>
      </w:r>
      <w:r w:rsidR="00D909BD" w:rsidRPr="00053D29">
        <w:rPr>
          <w:rFonts w:ascii="Century" w:hAnsi="Century"/>
          <w:sz w:val="24"/>
          <w:szCs w:val="24"/>
        </w:rPr>
        <w:t>and the recall of the child’s caretaker</w:t>
      </w:r>
      <w:r w:rsidRPr="00053D29">
        <w:rPr>
          <w:rFonts w:ascii="Century" w:hAnsi="Century"/>
          <w:sz w:val="24"/>
          <w:szCs w:val="24"/>
        </w:rPr>
        <w:t>.</w:t>
      </w:r>
      <w:r w:rsidR="00D909BD" w:rsidRPr="00053D29">
        <w:rPr>
          <w:rFonts w:ascii="Century" w:hAnsi="Century"/>
          <w:sz w:val="24"/>
          <w:szCs w:val="24"/>
        </w:rPr>
        <w:t xml:space="preserve"> In some countries, the child’s health card may be retained at the local health center. In almost all instances, a record of the child’s vaccination history is recorded in a facility</w:t>
      </w:r>
      <w:r w:rsidRPr="00053D29">
        <w:rPr>
          <w:rFonts w:ascii="Century" w:hAnsi="Century"/>
          <w:sz w:val="24"/>
          <w:szCs w:val="24"/>
        </w:rPr>
        <w:t xml:space="preserve"> register. We recommend that survey teams</w:t>
      </w:r>
      <w:r w:rsidR="00D909BD" w:rsidRPr="00053D29">
        <w:rPr>
          <w:rFonts w:ascii="Century" w:hAnsi="Century"/>
          <w:sz w:val="24"/>
          <w:szCs w:val="24"/>
        </w:rPr>
        <w:t xml:space="preserve"> consider routinely searching local health care facility records for evidence of the sampled child’s immunization history to increase the proportion of vaccinations that are based on documented evidence.</w:t>
      </w:r>
    </w:p>
    <w:p w:rsidR="00B45252" w:rsidRPr="00053D29" w:rsidRDefault="00E12AC3" w:rsidP="007E5562">
      <w:pPr>
        <w:pStyle w:val="ListParagraph"/>
        <w:numPr>
          <w:ilvl w:val="0"/>
          <w:numId w:val="2"/>
        </w:numPr>
        <w:rPr>
          <w:rFonts w:ascii="Century" w:hAnsi="Century"/>
          <w:sz w:val="24"/>
          <w:szCs w:val="24"/>
        </w:rPr>
      </w:pPr>
      <w:r w:rsidRPr="00053D29">
        <w:rPr>
          <w:rFonts w:ascii="Century" w:hAnsi="Century"/>
          <w:b/>
          <w:sz w:val="24"/>
          <w:szCs w:val="24"/>
        </w:rPr>
        <w:lastRenderedPageBreak/>
        <w:t>Analysis and presentation of multiple age cohorts:</w:t>
      </w:r>
      <w:r w:rsidRPr="00053D29">
        <w:rPr>
          <w:rFonts w:ascii="Century" w:hAnsi="Century"/>
          <w:sz w:val="24"/>
          <w:szCs w:val="24"/>
        </w:rPr>
        <w:t xml:space="preserve">  While </w:t>
      </w:r>
      <w:r w:rsidR="00F32844" w:rsidRPr="00053D29">
        <w:rPr>
          <w:rFonts w:ascii="Century" w:hAnsi="Century"/>
          <w:sz w:val="24"/>
          <w:szCs w:val="24"/>
        </w:rPr>
        <w:t xml:space="preserve">DHS and MICS </w:t>
      </w:r>
      <w:r w:rsidR="006C6D7D" w:rsidRPr="00053D29">
        <w:rPr>
          <w:rFonts w:ascii="Century" w:hAnsi="Century"/>
          <w:sz w:val="24"/>
          <w:szCs w:val="24"/>
        </w:rPr>
        <w:t xml:space="preserve">surveys </w:t>
      </w:r>
      <w:r w:rsidR="00F32844" w:rsidRPr="00053D29">
        <w:rPr>
          <w:rFonts w:ascii="Century" w:hAnsi="Century"/>
          <w:sz w:val="24"/>
          <w:szCs w:val="24"/>
        </w:rPr>
        <w:t xml:space="preserve">have </w:t>
      </w:r>
      <w:r w:rsidR="006C6D7D" w:rsidRPr="00053D29">
        <w:rPr>
          <w:rFonts w:ascii="Century" w:hAnsi="Century"/>
          <w:sz w:val="24"/>
          <w:szCs w:val="24"/>
        </w:rPr>
        <w:t>usually collect</w:t>
      </w:r>
      <w:r w:rsidR="00F32844" w:rsidRPr="00053D29">
        <w:rPr>
          <w:rFonts w:ascii="Century" w:hAnsi="Century"/>
          <w:sz w:val="24"/>
          <w:szCs w:val="24"/>
        </w:rPr>
        <w:t>ed</w:t>
      </w:r>
      <w:r w:rsidRPr="00053D29">
        <w:rPr>
          <w:rFonts w:ascii="Century" w:hAnsi="Century"/>
          <w:sz w:val="24"/>
          <w:szCs w:val="24"/>
        </w:rPr>
        <w:t xml:space="preserve"> immunization information on children under five years of age, the standard </w:t>
      </w:r>
      <w:r w:rsidR="00F32844" w:rsidRPr="00053D29">
        <w:rPr>
          <w:rFonts w:ascii="Century" w:hAnsi="Century"/>
          <w:sz w:val="24"/>
          <w:szCs w:val="24"/>
        </w:rPr>
        <w:t xml:space="preserve">survey </w:t>
      </w:r>
      <w:r w:rsidRPr="00053D29">
        <w:rPr>
          <w:rFonts w:ascii="Century" w:hAnsi="Century"/>
          <w:sz w:val="24"/>
          <w:szCs w:val="24"/>
        </w:rPr>
        <w:t xml:space="preserve">report presents information on the cohort of children 12-23 months of age to reflect the most recent system performance of infant immunization. Increasingly, national schedules include doses recommended at older age and the selection of the appropriate cohort(s) for analysis have been problematic. </w:t>
      </w:r>
      <w:r w:rsidR="006C6D7D" w:rsidRPr="00053D29">
        <w:rPr>
          <w:rFonts w:ascii="Century" w:hAnsi="Century"/>
          <w:sz w:val="24"/>
          <w:szCs w:val="24"/>
        </w:rPr>
        <w:t xml:space="preserve"> Rather than modify the cohort age selection (e.g., from 18-29 months of age rather than 12-23 months) to capture vaccinations recommended at or after 12 months of age, we recommend presenting the immunization information using multiple age cohorts if necessary. For vaccinations recommended up to 12 months of age we recommend reporting on coverage in the 12-23 months of age cohort; the current practice. For vaccinations recommended between 12</w:t>
      </w:r>
      <w:r w:rsidR="00F32844" w:rsidRPr="00053D29">
        <w:rPr>
          <w:rFonts w:ascii="Century" w:hAnsi="Century"/>
          <w:sz w:val="24"/>
          <w:szCs w:val="24"/>
        </w:rPr>
        <w:t>-</w:t>
      </w:r>
      <w:r w:rsidR="006C6D7D" w:rsidRPr="00053D29">
        <w:rPr>
          <w:rFonts w:ascii="Century" w:hAnsi="Century"/>
          <w:sz w:val="24"/>
          <w:szCs w:val="24"/>
        </w:rPr>
        <w:t>23 months of age, we recommend reporting coverage on the cohort of children 24-35 months of age. For vaccinations recommended between 24-35 months of age, coverage should be presented for the children 36-47 months of age.</w:t>
      </w:r>
    </w:p>
    <w:p w:rsidR="00B45252" w:rsidRPr="00053D29" w:rsidRDefault="00B45252" w:rsidP="00B45252">
      <w:pPr>
        <w:ind w:left="720"/>
        <w:rPr>
          <w:rFonts w:ascii="Century" w:hAnsi="Century"/>
          <w:sz w:val="24"/>
          <w:szCs w:val="24"/>
        </w:rPr>
      </w:pPr>
      <w:r w:rsidRPr="00053D29">
        <w:rPr>
          <w:rFonts w:ascii="Century" w:hAnsi="Century"/>
          <w:sz w:val="24"/>
          <w:szCs w:val="24"/>
        </w:rPr>
        <w:t>For example, if BCG is recommended at birth, DTP and polio at 6,</w:t>
      </w:r>
      <w:r w:rsidR="00F32844" w:rsidRPr="00053D29">
        <w:rPr>
          <w:rFonts w:ascii="Century" w:hAnsi="Century"/>
          <w:sz w:val="24"/>
          <w:szCs w:val="24"/>
        </w:rPr>
        <w:t xml:space="preserve"> </w:t>
      </w:r>
      <w:r w:rsidRPr="00053D29">
        <w:rPr>
          <w:rFonts w:ascii="Century" w:hAnsi="Century"/>
          <w:sz w:val="24"/>
          <w:szCs w:val="24"/>
        </w:rPr>
        <w:t>10, and 14 weeks, a first dose of measles at 12 months of age and a second at 24 months of age, coverage could be presented as below.</w:t>
      </w: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4"/>
        <w:gridCol w:w="979"/>
        <w:gridCol w:w="979"/>
        <w:gridCol w:w="979"/>
        <w:gridCol w:w="979"/>
        <w:gridCol w:w="980"/>
        <w:gridCol w:w="667"/>
        <w:gridCol w:w="863"/>
        <w:gridCol w:w="720"/>
        <w:gridCol w:w="990"/>
        <w:gridCol w:w="720"/>
      </w:tblGrid>
      <w:tr w:rsidR="00B45252" w:rsidRPr="00546D01" w:rsidTr="002E5A66">
        <w:tc>
          <w:tcPr>
            <w:tcW w:w="1764" w:type="dxa"/>
            <w:shd w:val="clear" w:color="auto" w:fill="auto"/>
          </w:tcPr>
          <w:p w:rsidR="00B45252" w:rsidRPr="00546D01" w:rsidRDefault="00B45252" w:rsidP="002E5A66">
            <w:pPr>
              <w:spacing w:after="0" w:line="240" w:lineRule="auto"/>
              <w:rPr>
                <w:rFonts w:ascii="Century Gothic" w:hAnsi="Century Gothic" w:cs="Calibri"/>
                <w:sz w:val="16"/>
                <w:szCs w:val="16"/>
                <w:lang w:val="en-GB"/>
              </w:rPr>
            </w:pPr>
            <w:r>
              <w:rPr>
                <w:rFonts w:ascii="Century Gothic" w:hAnsi="Century Gothic" w:cs="Calibri"/>
                <w:sz w:val="16"/>
                <w:szCs w:val="16"/>
                <w:lang w:val="en-GB"/>
              </w:rPr>
              <w:t>Children aged</w:t>
            </w:r>
          </w:p>
        </w:tc>
        <w:tc>
          <w:tcPr>
            <w:tcW w:w="5563" w:type="dxa"/>
            <w:gridSpan w:val="6"/>
            <w:shd w:val="clear" w:color="auto" w:fill="auto"/>
            <w:vAlign w:val="center"/>
          </w:tcPr>
          <w:p w:rsidR="00B45252" w:rsidRPr="00546D01" w:rsidRDefault="00B45252" w:rsidP="002E5A66">
            <w:pPr>
              <w:spacing w:after="0" w:line="240" w:lineRule="auto"/>
              <w:jc w:val="center"/>
              <w:rPr>
                <w:rFonts w:ascii="Century Gothic" w:hAnsi="Century Gothic" w:cs="Calibri"/>
                <w:b/>
                <w:sz w:val="16"/>
                <w:szCs w:val="16"/>
                <w:lang w:val="en-GB"/>
              </w:rPr>
            </w:pPr>
            <w:r w:rsidRPr="00546D01">
              <w:rPr>
                <w:rFonts w:ascii="Century Gothic" w:hAnsi="Century Gothic" w:cs="Calibri"/>
                <w:b/>
                <w:sz w:val="16"/>
                <w:szCs w:val="16"/>
                <w:lang w:val="en-GB"/>
              </w:rPr>
              <w:t>12-23 m</w:t>
            </w:r>
          </w:p>
        </w:tc>
        <w:tc>
          <w:tcPr>
            <w:tcW w:w="1583" w:type="dxa"/>
            <w:gridSpan w:val="2"/>
            <w:shd w:val="clear" w:color="auto" w:fill="auto"/>
            <w:vAlign w:val="center"/>
          </w:tcPr>
          <w:p w:rsidR="00B45252" w:rsidRPr="00546D01" w:rsidRDefault="00B45252" w:rsidP="002E5A66">
            <w:pPr>
              <w:spacing w:after="0" w:line="240" w:lineRule="auto"/>
              <w:jc w:val="center"/>
              <w:rPr>
                <w:rFonts w:ascii="Century Gothic" w:hAnsi="Century Gothic" w:cs="Calibri"/>
                <w:b/>
                <w:sz w:val="16"/>
                <w:szCs w:val="16"/>
                <w:lang w:val="en-GB"/>
              </w:rPr>
            </w:pPr>
            <w:r w:rsidRPr="00546D01">
              <w:rPr>
                <w:rFonts w:ascii="Century Gothic" w:hAnsi="Century Gothic" w:cs="Calibri"/>
                <w:b/>
                <w:sz w:val="16"/>
                <w:szCs w:val="16"/>
                <w:lang w:val="en-GB"/>
              </w:rPr>
              <w:t>24-35m</w:t>
            </w:r>
          </w:p>
        </w:tc>
        <w:tc>
          <w:tcPr>
            <w:tcW w:w="1710" w:type="dxa"/>
            <w:gridSpan w:val="2"/>
            <w:shd w:val="clear" w:color="auto" w:fill="auto"/>
            <w:vAlign w:val="center"/>
          </w:tcPr>
          <w:p w:rsidR="00B45252" w:rsidRPr="00546D01" w:rsidRDefault="00B45252" w:rsidP="002E5A66">
            <w:pPr>
              <w:spacing w:after="0" w:line="240" w:lineRule="auto"/>
              <w:jc w:val="center"/>
              <w:rPr>
                <w:rFonts w:ascii="Century Gothic" w:hAnsi="Century Gothic" w:cs="Calibri"/>
                <w:b/>
                <w:sz w:val="16"/>
                <w:szCs w:val="16"/>
                <w:lang w:val="en-GB"/>
              </w:rPr>
            </w:pPr>
            <w:r w:rsidRPr="00546D01">
              <w:rPr>
                <w:rFonts w:ascii="Century Gothic" w:hAnsi="Century Gothic" w:cs="Calibri"/>
                <w:b/>
                <w:sz w:val="16"/>
                <w:szCs w:val="16"/>
                <w:lang w:val="en-GB"/>
              </w:rPr>
              <w:t>36-47m</w:t>
            </w:r>
          </w:p>
        </w:tc>
      </w:tr>
      <w:tr w:rsidR="00B45252" w:rsidRPr="00546D01" w:rsidTr="002E5A66">
        <w:tc>
          <w:tcPr>
            <w:tcW w:w="1764" w:type="dxa"/>
            <w:shd w:val="clear" w:color="auto" w:fill="auto"/>
          </w:tcPr>
          <w:p w:rsidR="00B45252" w:rsidRPr="00546D01" w:rsidRDefault="00B45252" w:rsidP="002E5A66">
            <w:pPr>
              <w:spacing w:after="0" w:line="240" w:lineRule="auto"/>
              <w:rPr>
                <w:rFonts w:ascii="Century Gothic" w:hAnsi="Century Gothic" w:cs="Calibri"/>
                <w:sz w:val="16"/>
                <w:szCs w:val="16"/>
                <w:lang w:val="en-GB"/>
              </w:rPr>
            </w:pPr>
          </w:p>
        </w:tc>
        <w:tc>
          <w:tcPr>
            <w:tcW w:w="979" w:type="dxa"/>
            <w:shd w:val="clear" w:color="auto" w:fill="auto"/>
            <w:vAlign w:val="center"/>
          </w:tcPr>
          <w:p w:rsidR="00B45252" w:rsidRPr="00546D01" w:rsidRDefault="00B45252" w:rsidP="002E5A66">
            <w:pPr>
              <w:spacing w:after="0" w:line="240" w:lineRule="auto"/>
              <w:jc w:val="center"/>
              <w:rPr>
                <w:rFonts w:ascii="Century Gothic" w:hAnsi="Century Gothic" w:cs="Calibri"/>
                <w:b/>
                <w:sz w:val="16"/>
                <w:szCs w:val="16"/>
                <w:lang w:val="en-GB"/>
              </w:rPr>
            </w:pPr>
            <w:r w:rsidRPr="00546D01">
              <w:rPr>
                <w:rFonts w:ascii="Century Gothic" w:hAnsi="Century Gothic" w:cs="Calibri"/>
                <w:b/>
                <w:sz w:val="16"/>
                <w:szCs w:val="16"/>
                <w:lang w:val="en-GB"/>
              </w:rPr>
              <w:t>BCG</w:t>
            </w:r>
          </w:p>
        </w:tc>
        <w:tc>
          <w:tcPr>
            <w:tcW w:w="979" w:type="dxa"/>
            <w:shd w:val="clear" w:color="auto" w:fill="auto"/>
            <w:vAlign w:val="center"/>
          </w:tcPr>
          <w:p w:rsidR="00B45252" w:rsidRPr="00546D01" w:rsidRDefault="00B45252" w:rsidP="002E5A66">
            <w:pPr>
              <w:spacing w:after="0" w:line="240" w:lineRule="auto"/>
              <w:jc w:val="center"/>
              <w:rPr>
                <w:rFonts w:ascii="Century Gothic" w:hAnsi="Century Gothic" w:cs="Calibri"/>
                <w:b/>
                <w:sz w:val="16"/>
                <w:szCs w:val="16"/>
                <w:lang w:val="en-GB"/>
              </w:rPr>
            </w:pPr>
            <w:r w:rsidRPr="00546D01">
              <w:rPr>
                <w:rFonts w:ascii="Century Gothic" w:hAnsi="Century Gothic" w:cs="Calibri"/>
                <w:b/>
                <w:sz w:val="16"/>
                <w:szCs w:val="16"/>
                <w:lang w:val="en-GB"/>
              </w:rPr>
              <w:t>DTP</w:t>
            </w:r>
            <w:r w:rsidRPr="00546D01">
              <w:rPr>
                <w:rFonts w:ascii="Century Gothic" w:hAnsi="Century Gothic" w:cs="Calibri"/>
                <w:b/>
                <w:sz w:val="16"/>
                <w:szCs w:val="16"/>
                <w:vertAlign w:val="subscript"/>
                <w:lang w:val="en-GB"/>
              </w:rPr>
              <w:t>1</w:t>
            </w:r>
          </w:p>
        </w:tc>
        <w:tc>
          <w:tcPr>
            <w:tcW w:w="979" w:type="dxa"/>
            <w:shd w:val="clear" w:color="auto" w:fill="auto"/>
            <w:vAlign w:val="center"/>
          </w:tcPr>
          <w:p w:rsidR="00B45252" w:rsidRPr="00546D01" w:rsidRDefault="00B45252" w:rsidP="002E5A66">
            <w:pPr>
              <w:spacing w:after="0" w:line="240" w:lineRule="auto"/>
              <w:jc w:val="center"/>
              <w:rPr>
                <w:rFonts w:ascii="Century Gothic" w:hAnsi="Century Gothic" w:cs="Calibri"/>
                <w:b/>
                <w:sz w:val="16"/>
                <w:szCs w:val="16"/>
                <w:lang w:val="en-GB"/>
              </w:rPr>
            </w:pPr>
            <w:r w:rsidRPr="00546D01">
              <w:rPr>
                <w:rFonts w:ascii="Century Gothic" w:hAnsi="Century Gothic" w:cs="Calibri"/>
                <w:b/>
                <w:sz w:val="16"/>
                <w:szCs w:val="16"/>
                <w:lang w:val="en-GB"/>
              </w:rPr>
              <w:t>polio1</w:t>
            </w:r>
          </w:p>
        </w:tc>
        <w:tc>
          <w:tcPr>
            <w:tcW w:w="979" w:type="dxa"/>
            <w:shd w:val="clear" w:color="auto" w:fill="auto"/>
            <w:vAlign w:val="center"/>
          </w:tcPr>
          <w:p w:rsidR="00B45252" w:rsidRPr="00546D01" w:rsidRDefault="00B45252" w:rsidP="002E5A66">
            <w:pPr>
              <w:spacing w:after="0" w:line="240" w:lineRule="auto"/>
              <w:jc w:val="center"/>
              <w:rPr>
                <w:rFonts w:ascii="Century Gothic" w:hAnsi="Century Gothic" w:cs="Calibri"/>
                <w:b/>
                <w:sz w:val="16"/>
                <w:szCs w:val="16"/>
                <w:lang w:val="en-GB"/>
              </w:rPr>
            </w:pPr>
            <w:r w:rsidRPr="00546D01">
              <w:rPr>
                <w:rFonts w:ascii="Century Gothic" w:hAnsi="Century Gothic" w:cs="Calibri"/>
                <w:b/>
                <w:sz w:val="16"/>
                <w:szCs w:val="16"/>
                <w:lang w:val="en-GB"/>
              </w:rPr>
              <w:t>DTP</w:t>
            </w:r>
            <w:r w:rsidRPr="00546D01">
              <w:rPr>
                <w:rFonts w:ascii="Century Gothic" w:hAnsi="Century Gothic" w:cs="Calibri"/>
                <w:b/>
                <w:sz w:val="16"/>
                <w:szCs w:val="16"/>
                <w:vertAlign w:val="subscript"/>
                <w:lang w:val="en-GB"/>
              </w:rPr>
              <w:t>3</w:t>
            </w:r>
          </w:p>
        </w:tc>
        <w:tc>
          <w:tcPr>
            <w:tcW w:w="980" w:type="dxa"/>
            <w:shd w:val="clear" w:color="auto" w:fill="auto"/>
            <w:vAlign w:val="center"/>
          </w:tcPr>
          <w:p w:rsidR="00B45252" w:rsidRPr="00546D01" w:rsidRDefault="00B45252" w:rsidP="002E5A66">
            <w:pPr>
              <w:spacing w:after="0" w:line="240" w:lineRule="auto"/>
              <w:jc w:val="center"/>
              <w:rPr>
                <w:rFonts w:ascii="Century Gothic" w:hAnsi="Century Gothic" w:cs="Calibri"/>
                <w:b/>
                <w:sz w:val="16"/>
                <w:szCs w:val="16"/>
                <w:lang w:val="en-GB"/>
              </w:rPr>
            </w:pPr>
            <w:r w:rsidRPr="00546D01">
              <w:rPr>
                <w:rFonts w:ascii="Century Gothic" w:hAnsi="Century Gothic" w:cs="Calibri"/>
                <w:b/>
                <w:sz w:val="16"/>
                <w:szCs w:val="16"/>
                <w:lang w:val="en-GB"/>
              </w:rPr>
              <w:t>polio3</w:t>
            </w:r>
          </w:p>
        </w:tc>
        <w:tc>
          <w:tcPr>
            <w:tcW w:w="667" w:type="dxa"/>
            <w:shd w:val="clear" w:color="auto" w:fill="auto"/>
            <w:vAlign w:val="center"/>
          </w:tcPr>
          <w:p w:rsidR="00B45252" w:rsidRPr="00546D01" w:rsidRDefault="00B45252" w:rsidP="002E5A66">
            <w:pPr>
              <w:spacing w:after="0" w:line="240" w:lineRule="auto"/>
              <w:jc w:val="center"/>
              <w:rPr>
                <w:rFonts w:ascii="Century Gothic" w:hAnsi="Century Gothic" w:cs="Calibri"/>
                <w:b/>
                <w:sz w:val="16"/>
                <w:szCs w:val="16"/>
                <w:lang w:val="en-GB"/>
              </w:rPr>
            </w:pPr>
            <w:r w:rsidRPr="00546D01">
              <w:rPr>
                <w:rFonts w:ascii="Century Gothic" w:hAnsi="Century Gothic" w:cs="Calibri"/>
                <w:b/>
                <w:sz w:val="16"/>
                <w:szCs w:val="16"/>
                <w:lang w:val="en-GB"/>
              </w:rPr>
              <w:t>n</w:t>
            </w:r>
            <w:r w:rsidRPr="00546D01">
              <w:rPr>
                <w:rFonts w:ascii="Century Gothic" w:hAnsi="Century Gothic" w:cs="Calibri"/>
                <w:b/>
                <w:sz w:val="16"/>
                <w:szCs w:val="16"/>
                <w:vertAlign w:val="subscript"/>
                <w:lang w:val="en-GB"/>
              </w:rPr>
              <w:t>12-23</w:t>
            </w:r>
          </w:p>
        </w:tc>
        <w:tc>
          <w:tcPr>
            <w:tcW w:w="863" w:type="dxa"/>
            <w:shd w:val="clear" w:color="auto" w:fill="auto"/>
            <w:vAlign w:val="center"/>
          </w:tcPr>
          <w:p w:rsidR="00B45252" w:rsidRPr="00546D01" w:rsidRDefault="00B45252" w:rsidP="002E5A66">
            <w:pPr>
              <w:spacing w:after="0" w:line="240" w:lineRule="auto"/>
              <w:jc w:val="center"/>
              <w:rPr>
                <w:rFonts w:ascii="Century Gothic" w:hAnsi="Century Gothic" w:cs="Calibri"/>
                <w:b/>
                <w:sz w:val="16"/>
                <w:szCs w:val="16"/>
                <w:lang w:val="en-GB"/>
              </w:rPr>
            </w:pPr>
            <w:r w:rsidRPr="00546D01">
              <w:rPr>
                <w:rFonts w:ascii="Century Gothic" w:hAnsi="Century Gothic" w:cs="Calibri"/>
                <w:b/>
                <w:sz w:val="16"/>
                <w:szCs w:val="16"/>
                <w:lang w:val="en-GB"/>
              </w:rPr>
              <w:t>MCV</w:t>
            </w:r>
            <w:r w:rsidRPr="00546D01">
              <w:rPr>
                <w:rFonts w:ascii="Century Gothic" w:hAnsi="Century Gothic" w:cs="Calibri"/>
                <w:b/>
                <w:sz w:val="16"/>
                <w:szCs w:val="16"/>
                <w:vertAlign w:val="subscript"/>
                <w:lang w:val="en-GB"/>
              </w:rPr>
              <w:t>1</w:t>
            </w:r>
          </w:p>
        </w:tc>
        <w:tc>
          <w:tcPr>
            <w:tcW w:w="720" w:type="dxa"/>
            <w:shd w:val="clear" w:color="auto" w:fill="auto"/>
            <w:vAlign w:val="center"/>
          </w:tcPr>
          <w:p w:rsidR="00B45252" w:rsidRPr="00546D01" w:rsidRDefault="00B45252" w:rsidP="002E5A66">
            <w:pPr>
              <w:spacing w:after="0" w:line="240" w:lineRule="auto"/>
              <w:jc w:val="center"/>
              <w:rPr>
                <w:rFonts w:ascii="Century Gothic" w:hAnsi="Century Gothic" w:cs="Calibri"/>
                <w:b/>
                <w:sz w:val="16"/>
                <w:szCs w:val="16"/>
                <w:lang w:val="en-GB"/>
              </w:rPr>
            </w:pPr>
            <w:r w:rsidRPr="00546D01">
              <w:rPr>
                <w:rFonts w:ascii="Century Gothic" w:hAnsi="Century Gothic" w:cs="Calibri"/>
                <w:b/>
                <w:sz w:val="16"/>
                <w:szCs w:val="16"/>
                <w:lang w:val="en-GB"/>
              </w:rPr>
              <w:t>n</w:t>
            </w:r>
            <w:r w:rsidRPr="00546D01">
              <w:rPr>
                <w:rFonts w:ascii="Century Gothic" w:hAnsi="Century Gothic" w:cs="Calibri"/>
                <w:b/>
                <w:sz w:val="16"/>
                <w:szCs w:val="16"/>
                <w:vertAlign w:val="subscript"/>
                <w:lang w:val="en-GB"/>
              </w:rPr>
              <w:t>24-35</w:t>
            </w:r>
          </w:p>
        </w:tc>
        <w:tc>
          <w:tcPr>
            <w:tcW w:w="990" w:type="dxa"/>
            <w:shd w:val="clear" w:color="auto" w:fill="auto"/>
            <w:vAlign w:val="center"/>
          </w:tcPr>
          <w:p w:rsidR="00B45252" w:rsidRPr="00546D01" w:rsidRDefault="00B45252" w:rsidP="002E5A66">
            <w:pPr>
              <w:spacing w:after="0" w:line="240" w:lineRule="auto"/>
              <w:jc w:val="center"/>
              <w:rPr>
                <w:rFonts w:ascii="Century Gothic" w:hAnsi="Century Gothic" w:cs="Calibri"/>
                <w:b/>
                <w:sz w:val="16"/>
                <w:szCs w:val="16"/>
                <w:lang w:val="en-GB"/>
              </w:rPr>
            </w:pPr>
            <w:r w:rsidRPr="00546D01">
              <w:rPr>
                <w:rFonts w:ascii="Century Gothic" w:hAnsi="Century Gothic" w:cs="Calibri"/>
                <w:b/>
                <w:sz w:val="16"/>
                <w:szCs w:val="16"/>
                <w:lang w:val="en-GB"/>
              </w:rPr>
              <w:t>MCV</w:t>
            </w:r>
            <w:r w:rsidRPr="00546D01">
              <w:rPr>
                <w:rFonts w:ascii="Century Gothic" w:hAnsi="Century Gothic" w:cs="Calibri"/>
                <w:b/>
                <w:sz w:val="16"/>
                <w:szCs w:val="16"/>
                <w:vertAlign w:val="subscript"/>
                <w:lang w:val="en-GB"/>
              </w:rPr>
              <w:t>2</w:t>
            </w:r>
          </w:p>
        </w:tc>
        <w:tc>
          <w:tcPr>
            <w:tcW w:w="720" w:type="dxa"/>
            <w:shd w:val="clear" w:color="auto" w:fill="auto"/>
            <w:vAlign w:val="center"/>
          </w:tcPr>
          <w:p w:rsidR="00B45252" w:rsidRPr="00546D01" w:rsidRDefault="00B45252" w:rsidP="002E5A66">
            <w:pPr>
              <w:spacing w:after="0" w:line="240" w:lineRule="auto"/>
              <w:jc w:val="center"/>
              <w:rPr>
                <w:rFonts w:ascii="Century Gothic" w:hAnsi="Century Gothic" w:cs="Calibri"/>
                <w:b/>
                <w:sz w:val="16"/>
                <w:szCs w:val="16"/>
                <w:lang w:val="en-GB"/>
              </w:rPr>
            </w:pPr>
            <w:r w:rsidRPr="00546D01">
              <w:rPr>
                <w:rFonts w:ascii="Century Gothic" w:hAnsi="Century Gothic" w:cs="Calibri"/>
                <w:b/>
                <w:sz w:val="16"/>
                <w:szCs w:val="16"/>
                <w:lang w:val="en-GB"/>
              </w:rPr>
              <w:t>n</w:t>
            </w:r>
            <w:r w:rsidRPr="00546D01">
              <w:rPr>
                <w:rFonts w:ascii="Century Gothic" w:hAnsi="Century Gothic" w:cs="Calibri"/>
                <w:b/>
                <w:sz w:val="16"/>
                <w:szCs w:val="16"/>
                <w:vertAlign w:val="subscript"/>
                <w:lang w:val="en-GB"/>
              </w:rPr>
              <w:t>36-47</w:t>
            </w:r>
          </w:p>
        </w:tc>
      </w:tr>
      <w:tr w:rsidR="00B45252" w:rsidRPr="00546D01" w:rsidTr="002E5A66">
        <w:tc>
          <w:tcPr>
            <w:tcW w:w="1764" w:type="dxa"/>
            <w:shd w:val="clear" w:color="auto" w:fill="auto"/>
          </w:tcPr>
          <w:p w:rsidR="00B45252" w:rsidRPr="00546D01" w:rsidRDefault="00B45252" w:rsidP="002E5A66">
            <w:pPr>
              <w:spacing w:after="0" w:line="240" w:lineRule="auto"/>
              <w:rPr>
                <w:rFonts w:ascii="Century Gothic" w:hAnsi="Century Gothic" w:cs="Calibri"/>
                <w:sz w:val="14"/>
                <w:szCs w:val="14"/>
                <w:lang w:val="en-GB"/>
              </w:rPr>
            </w:pPr>
            <w:r w:rsidRPr="00546D01">
              <w:rPr>
                <w:rFonts w:ascii="Century Gothic" w:hAnsi="Century Gothic" w:cs="Calibri"/>
                <w:sz w:val="14"/>
                <w:szCs w:val="14"/>
                <w:lang w:val="en-GB"/>
              </w:rPr>
              <w:t>Vaccinated by card</w:t>
            </w:r>
            <w:r>
              <w:rPr>
                <w:rFonts w:ascii="Century Gothic" w:hAnsi="Century Gothic" w:cs="Calibri"/>
                <w:sz w:val="14"/>
                <w:szCs w:val="14"/>
                <w:lang w:val="en-GB"/>
              </w:rPr>
              <w:t xml:space="preserve"> or facility register</w:t>
            </w:r>
          </w:p>
        </w:tc>
        <w:tc>
          <w:tcPr>
            <w:tcW w:w="979" w:type="dxa"/>
            <w:shd w:val="clear" w:color="auto" w:fill="auto"/>
            <w:vAlign w:val="center"/>
          </w:tcPr>
          <w:p w:rsidR="00B45252" w:rsidRPr="00546D01" w:rsidRDefault="00B45252" w:rsidP="002E5A66">
            <w:pPr>
              <w:spacing w:after="0" w:line="240" w:lineRule="auto"/>
              <w:jc w:val="center"/>
              <w:rPr>
                <w:rFonts w:ascii="Century Gothic" w:hAnsi="Century Gothic" w:cs="Calibri"/>
                <w:sz w:val="16"/>
                <w:szCs w:val="16"/>
                <w:lang w:val="en-GB"/>
              </w:rPr>
            </w:pPr>
            <w:r w:rsidRPr="00546D01">
              <w:rPr>
                <w:rFonts w:ascii="Century Gothic" w:hAnsi="Century Gothic" w:cs="Calibri"/>
                <w:sz w:val="16"/>
                <w:szCs w:val="16"/>
                <w:lang w:val="en-GB"/>
              </w:rPr>
              <w:t>85%</w:t>
            </w:r>
          </w:p>
        </w:tc>
        <w:tc>
          <w:tcPr>
            <w:tcW w:w="979" w:type="dxa"/>
            <w:shd w:val="clear" w:color="auto" w:fill="auto"/>
            <w:vAlign w:val="center"/>
          </w:tcPr>
          <w:p w:rsidR="00B45252" w:rsidRPr="00546D01" w:rsidRDefault="00B45252" w:rsidP="002E5A66">
            <w:pPr>
              <w:spacing w:after="0" w:line="240" w:lineRule="auto"/>
              <w:jc w:val="center"/>
              <w:rPr>
                <w:rFonts w:ascii="Century Gothic" w:hAnsi="Century Gothic" w:cs="Calibri"/>
                <w:sz w:val="16"/>
                <w:szCs w:val="16"/>
                <w:lang w:val="en-GB"/>
              </w:rPr>
            </w:pPr>
            <w:r w:rsidRPr="00546D01">
              <w:rPr>
                <w:rFonts w:ascii="Century Gothic" w:hAnsi="Century Gothic" w:cs="Calibri"/>
                <w:sz w:val="16"/>
                <w:szCs w:val="16"/>
                <w:lang w:val="en-GB"/>
              </w:rPr>
              <w:t>83%</w:t>
            </w:r>
          </w:p>
        </w:tc>
        <w:tc>
          <w:tcPr>
            <w:tcW w:w="979" w:type="dxa"/>
            <w:shd w:val="clear" w:color="auto" w:fill="auto"/>
            <w:vAlign w:val="center"/>
          </w:tcPr>
          <w:p w:rsidR="00B45252" w:rsidRPr="00546D01" w:rsidRDefault="00B45252" w:rsidP="002E5A66">
            <w:pPr>
              <w:spacing w:after="0" w:line="240" w:lineRule="auto"/>
              <w:jc w:val="center"/>
              <w:rPr>
                <w:rFonts w:ascii="Century Gothic" w:hAnsi="Century Gothic" w:cs="Calibri"/>
                <w:sz w:val="16"/>
                <w:szCs w:val="16"/>
                <w:lang w:val="en-GB"/>
              </w:rPr>
            </w:pPr>
            <w:r w:rsidRPr="00546D01">
              <w:rPr>
                <w:rFonts w:ascii="Century Gothic" w:hAnsi="Century Gothic" w:cs="Calibri"/>
                <w:sz w:val="16"/>
                <w:szCs w:val="16"/>
                <w:lang w:val="en-GB"/>
              </w:rPr>
              <w:t>81%</w:t>
            </w:r>
          </w:p>
        </w:tc>
        <w:tc>
          <w:tcPr>
            <w:tcW w:w="979" w:type="dxa"/>
            <w:shd w:val="clear" w:color="auto" w:fill="auto"/>
            <w:vAlign w:val="center"/>
          </w:tcPr>
          <w:p w:rsidR="00B45252" w:rsidRPr="00546D01" w:rsidRDefault="00B45252" w:rsidP="002E5A66">
            <w:pPr>
              <w:spacing w:after="0" w:line="240" w:lineRule="auto"/>
              <w:jc w:val="center"/>
              <w:rPr>
                <w:rFonts w:ascii="Century Gothic" w:hAnsi="Century Gothic" w:cs="Calibri"/>
                <w:sz w:val="16"/>
                <w:szCs w:val="16"/>
                <w:lang w:val="en-GB"/>
              </w:rPr>
            </w:pPr>
            <w:r w:rsidRPr="00546D01">
              <w:rPr>
                <w:rFonts w:ascii="Century Gothic" w:hAnsi="Century Gothic" w:cs="Calibri"/>
                <w:sz w:val="16"/>
                <w:szCs w:val="16"/>
                <w:lang w:val="en-GB"/>
              </w:rPr>
              <w:t>66%</w:t>
            </w:r>
          </w:p>
        </w:tc>
        <w:tc>
          <w:tcPr>
            <w:tcW w:w="980" w:type="dxa"/>
            <w:shd w:val="clear" w:color="auto" w:fill="auto"/>
            <w:vAlign w:val="center"/>
          </w:tcPr>
          <w:p w:rsidR="00B45252" w:rsidRPr="00546D01" w:rsidRDefault="00B45252" w:rsidP="002E5A66">
            <w:pPr>
              <w:spacing w:after="0" w:line="240" w:lineRule="auto"/>
              <w:jc w:val="center"/>
              <w:rPr>
                <w:rFonts w:ascii="Century Gothic" w:hAnsi="Century Gothic" w:cs="Calibri"/>
                <w:sz w:val="16"/>
                <w:szCs w:val="16"/>
                <w:lang w:val="en-GB"/>
              </w:rPr>
            </w:pPr>
            <w:r w:rsidRPr="00546D01">
              <w:rPr>
                <w:rFonts w:ascii="Century Gothic" w:hAnsi="Century Gothic" w:cs="Calibri"/>
                <w:sz w:val="16"/>
                <w:szCs w:val="16"/>
                <w:lang w:val="en-GB"/>
              </w:rPr>
              <w:t>66%</w:t>
            </w:r>
          </w:p>
        </w:tc>
        <w:tc>
          <w:tcPr>
            <w:tcW w:w="667" w:type="dxa"/>
            <w:shd w:val="clear" w:color="auto" w:fill="auto"/>
            <w:vAlign w:val="center"/>
          </w:tcPr>
          <w:p w:rsidR="00B45252" w:rsidRPr="00546D01" w:rsidRDefault="00B45252" w:rsidP="002E5A66">
            <w:pPr>
              <w:spacing w:after="0" w:line="240" w:lineRule="auto"/>
              <w:jc w:val="center"/>
              <w:rPr>
                <w:rFonts w:ascii="Century Gothic" w:hAnsi="Century Gothic" w:cs="Calibri"/>
                <w:sz w:val="16"/>
                <w:szCs w:val="16"/>
                <w:lang w:val="en-GB"/>
              </w:rPr>
            </w:pPr>
            <w:r w:rsidRPr="00546D01">
              <w:rPr>
                <w:rFonts w:ascii="Century Gothic" w:hAnsi="Century Gothic" w:cs="Calibri"/>
                <w:sz w:val="16"/>
                <w:szCs w:val="16"/>
                <w:lang w:val="en-GB"/>
              </w:rPr>
              <w:t>800</w:t>
            </w:r>
          </w:p>
        </w:tc>
        <w:tc>
          <w:tcPr>
            <w:tcW w:w="863" w:type="dxa"/>
            <w:shd w:val="clear" w:color="auto" w:fill="auto"/>
            <w:vAlign w:val="center"/>
          </w:tcPr>
          <w:p w:rsidR="00B45252" w:rsidRPr="00546D01" w:rsidRDefault="00B45252" w:rsidP="002E5A66">
            <w:pPr>
              <w:spacing w:after="0" w:line="240" w:lineRule="auto"/>
              <w:jc w:val="center"/>
              <w:rPr>
                <w:rFonts w:ascii="Century Gothic" w:hAnsi="Century Gothic" w:cs="Calibri"/>
                <w:sz w:val="16"/>
                <w:szCs w:val="16"/>
                <w:lang w:val="en-GB"/>
              </w:rPr>
            </w:pPr>
            <w:r w:rsidRPr="00546D01">
              <w:rPr>
                <w:rFonts w:ascii="Century Gothic" w:hAnsi="Century Gothic" w:cs="Calibri"/>
                <w:sz w:val="16"/>
                <w:szCs w:val="16"/>
                <w:lang w:val="en-GB"/>
              </w:rPr>
              <w:t>64%</w:t>
            </w:r>
          </w:p>
        </w:tc>
        <w:tc>
          <w:tcPr>
            <w:tcW w:w="720" w:type="dxa"/>
            <w:shd w:val="clear" w:color="auto" w:fill="auto"/>
            <w:vAlign w:val="center"/>
          </w:tcPr>
          <w:p w:rsidR="00B45252" w:rsidRPr="00546D01" w:rsidRDefault="00B45252" w:rsidP="002E5A66">
            <w:pPr>
              <w:spacing w:after="0" w:line="240" w:lineRule="auto"/>
              <w:jc w:val="center"/>
              <w:rPr>
                <w:rFonts w:ascii="Century Gothic" w:hAnsi="Century Gothic" w:cs="Calibri"/>
                <w:sz w:val="16"/>
                <w:szCs w:val="16"/>
                <w:lang w:val="en-GB"/>
              </w:rPr>
            </w:pPr>
            <w:r w:rsidRPr="00546D01">
              <w:rPr>
                <w:rFonts w:ascii="Century Gothic" w:hAnsi="Century Gothic" w:cs="Calibri"/>
                <w:sz w:val="16"/>
                <w:szCs w:val="16"/>
                <w:lang w:val="en-GB"/>
              </w:rPr>
              <w:t>900</w:t>
            </w:r>
          </w:p>
        </w:tc>
        <w:tc>
          <w:tcPr>
            <w:tcW w:w="990" w:type="dxa"/>
            <w:shd w:val="clear" w:color="auto" w:fill="auto"/>
            <w:vAlign w:val="center"/>
          </w:tcPr>
          <w:p w:rsidR="00B45252" w:rsidRPr="00546D01" w:rsidRDefault="00B45252" w:rsidP="002E5A66">
            <w:pPr>
              <w:spacing w:after="0" w:line="240" w:lineRule="auto"/>
              <w:jc w:val="center"/>
              <w:rPr>
                <w:rFonts w:ascii="Century Gothic" w:hAnsi="Century Gothic" w:cs="Calibri"/>
                <w:sz w:val="16"/>
                <w:szCs w:val="16"/>
                <w:lang w:val="en-GB"/>
              </w:rPr>
            </w:pPr>
            <w:r w:rsidRPr="00546D01">
              <w:rPr>
                <w:rFonts w:ascii="Century Gothic" w:hAnsi="Century Gothic" w:cs="Calibri"/>
                <w:sz w:val="16"/>
                <w:szCs w:val="16"/>
                <w:lang w:val="en-GB"/>
              </w:rPr>
              <w:t>58%</w:t>
            </w:r>
          </w:p>
        </w:tc>
        <w:tc>
          <w:tcPr>
            <w:tcW w:w="720" w:type="dxa"/>
            <w:shd w:val="clear" w:color="auto" w:fill="auto"/>
            <w:vAlign w:val="center"/>
          </w:tcPr>
          <w:p w:rsidR="00B45252" w:rsidRPr="00546D01" w:rsidRDefault="00B45252" w:rsidP="002E5A66">
            <w:pPr>
              <w:spacing w:after="0" w:line="240" w:lineRule="auto"/>
              <w:jc w:val="center"/>
              <w:rPr>
                <w:rFonts w:ascii="Century Gothic" w:hAnsi="Century Gothic" w:cs="Calibri"/>
                <w:sz w:val="16"/>
                <w:szCs w:val="16"/>
                <w:lang w:val="en-GB"/>
              </w:rPr>
            </w:pPr>
            <w:r w:rsidRPr="00546D01">
              <w:rPr>
                <w:rFonts w:ascii="Century Gothic" w:hAnsi="Century Gothic" w:cs="Calibri"/>
                <w:sz w:val="16"/>
                <w:szCs w:val="16"/>
                <w:lang w:val="en-GB"/>
              </w:rPr>
              <w:t>1000</w:t>
            </w:r>
          </w:p>
        </w:tc>
      </w:tr>
      <w:tr w:rsidR="00B45252" w:rsidRPr="00546D01" w:rsidTr="002E5A66">
        <w:tc>
          <w:tcPr>
            <w:tcW w:w="1764" w:type="dxa"/>
            <w:shd w:val="clear" w:color="auto" w:fill="auto"/>
          </w:tcPr>
          <w:p w:rsidR="00B45252" w:rsidRPr="00546D01" w:rsidRDefault="00B45252" w:rsidP="002E5A66">
            <w:pPr>
              <w:spacing w:after="0" w:line="240" w:lineRule="auto"/>
              <w:rPr>
                <w:rFonts w:ascii="Century Gothic" w:hAnsi="Century Gothic" w:cs="Calibri"/>
                <w:sz w:val="14"/>
                <w:szCs w:val="14"/>
                <w:lang w:val="en-GB"/>
              </w:rPr>
            </w:pPr>
            <w:r w:rsidRPr="00546D01">
              <w:rPr>
                <w:rFonts w:ascii="Century Gothic" w:hAnsi="Century Gothic" w:cs="Calibri"/>
                <w:sz w:val="14"/>
                <w:szCs w:val="14"/>
                <w:lang w:val="en-GB"/>
              </w:rPr>
              <w:t>Vaccinated by maternal recall</w:t>
            </w:r>
          </w:p>
        </w:tc>
        <w:tc>
          <w:tcPr>
            <w:tcW w:w="979" w:type="dxa"/>
            <w:shd w:val="clear" w:color="auto" w:fill="auto"/>
            <w:vAlign w:val="center"/>
          </w:tcPr>
          <w:p w:rsidR="00B45252" w:rsidRPr="00546D01" w:rsidRDefault="00B45252" w:rsidP="002E5A66">
            <w:pPr>
              <w:spacing w:after="0" w:line="240" w:lineRule="auto"/>
              <w:jc w:val="center"/>
              <w:rPr>
                <w:rFonts w:ascii="Century Gothic" w:hAnsi="Century Gothic" w:cs="Calibri"/>
                <w:sz w:val="16"/>
                <w:szCs w:val="16"/>
                <w:lang w:val="en-GB"/>
              </w:rPr>
            </w:pPr>
            <w:r w:rsidRPr="00546D01">
              <w:rPr>
                <w:rFonts w:ascii="Century Gothic" w:hAnsi="Century Gothic" w:cs="Calibri"/>
                <w:sz w:val="16"/>
                <w:szCs w:val="16"/>
                <w:lang w:val="en-GB"/>
              </w:rPr>
              <w:t>5%</w:t>
            </w:r>
          </w:p>
        </w:tc>
        <w:tc>
          <w:tcPr>
            <w:tcW w:w="979" w:type="dxa"/>
            <w:shd w:val="clear" w:color="auto" w:fill="auto"/>
            <w:vAlign w:val="center"/>
          </w:tcPr>
          <w:p w:rsidR="00B45252" w:rsidRPr="00546D01" w:rsidRDefault="00B45252" w:rsidP="002E5A66">
            <w:pPr>
              <w:spacing w:after="0" w:line="240" w:lineRule="auto"/>
              <w:jc w:val="center"/>
              <w:rPr>
                <w:rFonts w:ascii="Century Gothic" w:hAnsi="Century Gothic" w:cs="Calibri"/>
                <w:sz w:val="16"/>
                <w:szCs w:val="16"/>
                <w:lang w:val="en-GB"/>
              </w:rPr>
            </w:pPr>
            <w:r w:rsidRPr="00546D01">
              <w:rPr>
                <w:rFonts w:ascii="Century Gothic" w:hAnsi="Century Gothic" w:cs="Calibri"/>
                <w:sz w:val="16"/>
                <w:szCs w:val="16"/>
                <w:lang w:val="en-GB"/>
              </w:rPr>
              <w:t>5%</w:t>
            </w:r>
          </w:p>
        </w:tc>
        <w:tc>
          <w:tcPr>
            <w:tcW w:w="979" w:type="dxa"/>
            <w:shd w:val="clear" w:color="auto" w:fill="auto"/>
            <w:vAlign w:val="center"/>
          </w:tcPr>
          <w:p w:rsidR="00B45252" w:rsidRPr="00546D01" w:rsidRDefault="00B45252" w:rsidP="002E5A66">
            <w:pPr>
              <w:spacing w:after="0" w:line="240" w:lineRule="auto"/>
              <w:jc w:val="center"/>
              <w:rPr>
                <w:rFonts w:ascii="Century Gothic" w:hAnsi="Century Gothic" w:cs="Calibri"/>
                <w:sz w:val="16"/>
                <w:szCs w:val="16"/>
                <w:lang w:val="en-GB"/>
              </w:rPr>
            </w:pPr>
            <w:r w:rsidRPr="00546D01">
              <w:rPr>
                <w:rFonts w:ascii="Century Gothic" w:hAnsi="Century Gothic" w:cs="Calibri"/>
                <w:sz w:val="16"/>
                <w:szCs w:val="16"/>
                <w:lang w:val="en-GB"/>
              </w:rPr>
              <w:t>7%</w:t>
            </w:r>
          </w:p>
        </w:tc>
        <w:tc>
          <w:tcPr>
            <w:tcW w:w="979" w:type="dxa"/>
            <w:shd w:val="clear" w:color="auto" w:fill="auto"/>
            <w:vAlign w:val="center"/>
          </w:tcPr>
          <w:p w:rsidR="00B45252" w:rsidRPr="00546D01" w:rsidRDefault="00B45252" w:rsidP="002E5A66">
            <w:pPr>
              <w:spacing w:after="0" w:line="240" w:lineRule="auto"/>
              <w:jc w:val="center"/>
              <w:rPr>
                <w:rFonts w:ascii="Century Gothic" w:hAnsi="Century Gothic" w:cs="Calibri"/>
                <w:sz w:val="16"/>
                <w:szCs w:val="16"/>
                <w:lang w:val="en-GB"/>
              </w:rPr>
            </w:pPr>
            <w:r w:rsidRPr="00546D01">
              <w:rPr>
                <w:rFonts w:ascii="Century Gothic" w:hAnsi="Century Gothic" w:cs="Calibri"/>
                <w:sz w:val="16"/>
                <w:szCs w:val="16"/>
                <w:lang w:val="en-GB"/>
              </w:rPr>
              <w:t>10%</w:t>
            </w:r>
          </w:p>
        </w:tc>
        <w:tc>
          <w:tcPr>
            <w:tcW w:w="980" w:type="dxa"/>
            <w:shd w:val="clear" w:color="auto" w:fill="auto"/>
            <w:vAlign w:val="center"/>
          </w:tcPr>
          <w:p w:rsidR="00B45252" w:rsidRPr="00546D01" w:rsidRDefault="00B45252" w:rsidP="002E5A66">
            <w:pPr>
              <w:spacing w:after="0" w:line="240" w:lineRule="auto"/>
              <w:jc w:val="center"/>
              <w:rPr>
                <w:rFonts w:ascii="Century Gothic" w:hAnsi="Century Gothic" w:cs="Calibri"/>
                <w:sz w:val="16"/>
                <w:szCs w:val="16"/>
                <w:lang w:val="en-GB"/>
              </w:rPr>
            </w:pPr>
            <w:r w:rsidRPr="00546D01">
              <w:rPr>
                <w:rFonts w:ascii="Century Gothic" w:hAnsi="Century Gothic" w:cs="Calibri"/>
                <w:sz w:val="16"/>
                <w:szCs w:val="16"/>
                <w:lang w:val="en-GB"/>
              </w:rPr>
              <w:t>9%</w:t>
            </w:r>
          </w:p>
        </w:tc>
        <w:tc>
          <w:tcPr>
            <w:tcW w:w="667" w:type="dxa"/>
            <w:shd w:val="clear" w:color="auto" w:fill="auto"/>
            <w:vAlign w:val="center"/>
          </w:tcPr>
          <w:p w:rsidR="00B45252" w:rsidRPr="00546D01" w:rsidRDefault="00B45252" w:rsidP="002E5A66">
            <w:pPr>
              <w:spacing w:after="0" w:line="240" w:lineRule="auto"/>
              <w:jc w:val="center"/>
              <w:rPr>
                <w:rFonts w:ascii="Century Gothic" w:hAnsi="Century Gothic" w:cs="Calibri"/>
                <w:sz w:val="16"/>
                <w:szCs w:val="16"/>
                <w:lang w:val="en-GB"/>
              </w:rPr>
            </w:pPr>
            <w:r w:rsidRPr="00546D01">
              <w:rPr>
                <w:rFonts w:ascii="Century Gothic" w:hAnsi="Century Gothic" w:cs="Calibri"/>
                <w:sz w:val="16"/>
                <w:szCs w:val="16"/>
                <w:lang w:val="en-GB"/>
              </w:rPr>
              <w:t>200</w:t>
            </w:r>
          </w:p>
        </w:tc>
        <w:tc>
          <w:tcPr>
            <w:tcW w:w="863" w:type="dxa"/>
            <w:shd w:val="clear" w:color="auto" w:fill="auto"/>
            <w:vAlign w:val="center"/>
          </w:tcPr>
          <w:p w:rsidR="00B45252" w:rsidRPr="00546D01" w:rsidRDefault="00B45252" w:rsidP="002E5A66">
            <w:pPr>
              <w:spacing w:after="0" w:line="240" w:lineRule="auto"/>
              <w:jc w:val="center"/>
              <w:rPr>
                <w:rFonts w:ascii="Century Gothic" w:hAnsi="Century Gothic" w:cs="Calibri"/>
                <w:sz w:val="16"/>
                <w:szCs w:val="16"/>
                <w:lang w:val="en-GB"/>
              </w:rPr>
            </w:pPr>
            <w:r w:rsidRPr="00546D01">
              <w:rPr>
                <w:rFonts w:ascii="Century Gothic" w:hAnsi="Century Gothic" w:cs="Calibri"/>
                <w:sz w:val="16"/>
                <w:szCs w:val="16"/>
                <w:lang w:val="en-GB"/>
              </w:rPr>
              <w:t>10%</w:t>
            </w:r>
          </w:p>
        </w:tc>
        <w:tc>
          <w:tcPr>
            <w:tcW w:w="720" w:type="dxa"/>
            <w:shd w:val="clear" w:color="auto" w:fill="auto"/>
            <w:vAlign w:val="center"/>
          </w:tcPr>
          <w:p w:rsidR="00B45252" w:rsidRPr="00546D01" w:rsidRDefault="00B45252" w:rsidP="002E5A66">
            <w:pPr>
              <w:spacing w:after="0" w:line="240" w:lineRule="auto"/>
              <w:jc w:val="center"/>
              <w:rPr>
                <w:rFonts w:ascii="Century Gothic" w:hAnsi="Century Gothic" w:cs="Calibri"/>
                <w:sz w:val="16"/>
                <w:szCs w:val="16"/>
                <w:lang w:val="en-GB"/>
              </w:rPr>
            </w:pPr>
            <w:r w:rsidRPr="00546D01">
              <w:rPr>
                <w:rFonts w:ascii="Century Gothic" w:hAnsi="Century Gothic" w:cs="Calibri"/>
                <w:sz w:val="16"/>
                <w:szCs w:val="16"/>
                <w:lang w:val="en-GB"/>
              </w:rPr>
              <w:t>300</w:t>
            </w:r>
          </w:p>
        </w:tc>
        <w:tc>
          <w:tcPr>
            <w:tcW w:w="990" w:type="dxa"/>
            <w:shd w:val="clear" w:color="auto" w:fill="auto"/>
            <w:vAlign w:val="center"/>
          </w:tcPr>
          <w:p w:rsidR="00B45252" w:rsidRPr="00546D01" w:rsidRDefault="00B45252" w:rsidP="002E5A66">
            <w:pPr>
              <w:spacing w:after="0" w:line="240" w:lineRule="auto"/>
              <w:jc w:val="center"/>
              <w:rPr>
                <w:rFonts w:ascii="Century Gothic" w:hAnsi="Century Gothic" w:cs="Calibri"/>
                <w:sz w:val="16"/>
                <w:szCs w:val="16"/>
                <w:lang w:val="en-GB"/>
              </w:rPr>
            </w:pPr>
            <w:r w:rsidRPr="00546D01">
              <w:rPr>
                <w:rFonts w:ascii="Century Gothic" w:hAnsi="Century Gothic" w:cs="Calibri"/>
                <w:sz w:val="16"/>
                <w:szCs w:val="16"/>
                <w:lang w:val="en-GB"/>
              </w:rPr>
              <w:t>12%</w:t>
            </w:r>
          </w:p>
        </w:tc>
        <w:tc>
          <w:tcPr>
            <w:tcW w:w="720" w:type="dxa"/>
            <w:shd w:val="clear" w:color="auto" w:fill="auto"/>
            <w:vAlign w:val="center"/>
          </w:tcPr>
          <w:p w:rsidR="00B45252" w:rsidRPr="00546D01" w:rsidRDefault="00B45252" w:rsidP="002E5A66">
            <w:pPr>
              <w:spacing w:after="0" w:line="240" w:lineRule="auto"/>
              <w:jc w:val="center"/>
              <w:rPr>
                <w:rFonts w:ascii="Century Gothic" w:hAnsi="Century Gothic" w:cs="Calibri"/>
                <w:sz w:val="16"/>
                <w:szCs w:val="16"/>
                <w:lang w:val="en-GB"/>
              </w:rPr>
            </w:pPr>
            <w:r w:rsidRPr="00546D01">
              <w:rPr>
                <w:rFonts w:ascii="Century Gothic" w:hAnsi="Century Gothic" w:cs="Calibri"/>
                <w:sz w:val="16"/>
                <w:szCs w:val="16"/>
                <w:lang w:val="en-GB"/>
              </w:rPr>
              <w:t>200</w:t>
            </w:r>
          </w:p>
        </w:tc>
      </w:tr>
      <w:tr w:rsidR="00B45252" w:rsidRPr="00546D01" w:rsidTr="002E5A66">
        <w:tc>
          <w:tcPr>
            <w:tcW w:w="1764" w:type="dxa"/>
            <w:shd w:val="clear" w:color="auto" w:fill="auto"/>
          </w:tcPr>
          <w:p w:rsidR="00B45252" w:rsidRPr="00546D01" w:rsidRDefault="00B45252" w:rsidP="002E5A66">
            <w:pPr>
              <w:spacing w:after="0" w:line="240" w:lineRule="auto"/>
              <w:rPr>
                <w:rFonts w:ascii="Century Gothic" w:hAnsi="Century Gothic" w:cs="Calibri"/>
                <w:sz w:val="14"/>
                <w:szCs w:val="14"/>
                <w:lang w:val="en-GB"/>
              </w:rPr>
            </w:pPr>
            <w:r w:rsidRPr="00546D01">
              <w:rPr>
                <w:rFonts w:ascii="Century Gothic" w:hAnsi="Century Gothic" w:cs="Calibri"/>
                <w:sz w:val="14"/>
                <w:szCs w:val="14"/>
                <w:lang w:val="en-GB"/>
              </w:rPr>
              <w:t>Vaccinated by either source</w:t>
            </w:r>
          </w:p>
        </w:tc>
        <w:tc>
          <w:tcPr>
            <w:tcW w:w="979" w:type="dxa"/>
            <w:shd w:val="clear" w:color="auto" w:fill="auto"/>
            <w:vAlign w:val="center"/>
          </w:tcPr>
          <w:p w:rsidR="00B45252" w:rsidRPr="00546D01" w:rsidRDefault="00B45252" w:rsidP="002E5A66">
            <w:pPr>
              <w:spacing w:after="0" w:line="240" w:lineRule="auto"/>
              <w:jc w:val="center"/>
              <w:rPr>
                <w:rFonts w:ascii="Century Gothic" w:hAnsi="Century Gothic" w:cs="Calibri"/>
                <w:sz w:val="16"/>
                <w:szCs w:val="16"/>
                <w:lang w:val="en-GB"/>
              </w:rPr>
            </w:pPr>
            <w:r w:rsidRPr="00546D01">
              <w:rPr>
                <w:rFonts w:ascii="Century Gothic" w:hAnsi="Century Gothic" w:cs="Calibri"/>
                <w:sz w:val="16"/>
                <w:szCs w:val="16"/>
                <w:lang w:val="en-GB"/>
              </w:rPr>
              <w:t>90%</w:t>
            </w:r>
          </w:p>
        </w:tc>
        <w:tc>
          <w:tcPr>
            <w:tcW w:w="979" w:type="dxa"/>
            <w:shd w:val="clear" w:color="auto" w:fill="auto"/>
            <w:vAlign w:val="center"/>
          </w:tcPr>
          <w:p w:rsidR="00B45252" w:rsidRPr="00546D01" w:rsidRDefault="00B45252" w:rsidP="002E5A66">
            <w:pPr>
              <w:spacing w:after="0" w:line="240" w:lineRule="auto"/>
              <w:jc w:val="center"/>
              <w:rPr>
                <w:rFonts w:ascii="Century Gothic" w:hAnsi="Century Gothic" w:cs="Calibri"/>
                <w:sz w:val="16"/>
                <w:szCs w:val="16"/>
                <w:lang w:val="en-GB"/>
              </w:rPr>
            </w:pPr>
            <w:r w:rsidRPr="00546D01">
              <w:rPr>
                <w:rFonts w:ascii="Century Gothic" w:hAnsi="Century Gothic" w:cs="Calibri"/>
                <w:sz w:val="16"/>
                <w:szCs w:val="16"/>
                <w:lang w:val="en-GB"/>
              </w:rPr>
              <w:t>88%</w:t>
            </w:r>
          </w:p>
        </w:tc>
        <w:tc>
          <w:tcPr>
            <w:tcW w:w="979" w:type="dxa"/>
            <w:shd w:val="clear" w:color="auto" w:fill="auto"/>
            <w:vAlign w:val="center"/>
          </w:tcPr>
          <w:p w:rsidR="00B45252" w:rsidRPr="00546D01" w:rsidRDefault="00B45252" w:rsidP="002E5A66">
            <w:pPr>
              <w:spacing w:after="0" w:line="240" w:lineRule="auto"/>
              <w:jc w:val="center"/>
              <w:rPr>
                <w:rFonts w:ascii="Century Gothic" w:hAnsi="Century Gothic" w:cs="Calibri"/>
                <w:sz w:val="16"/>
                <w:szCs w:val="16"/>
                <w:lang w:val="en-GB"/>
              </w:rPr>
            </w:pPr>
            <w:r w:rsidRPr="00546D01">
              <w:rPr>
                <w:rFonts w:ascii="Century Gothic" w:hAnsi="Century Gothic" w:cs="Calibri"/>
                <w:sz w:val="16"/>
                <w:szCs w:val="16"/>
                <w:lang w:val="en-GB"/>
              </w:rPr>
              <w:t>88%</w:t>
            </w:r>
          </w:p>
        </w:tc>
        <w:tc>
          <w:tcPr>
            <w:tcW w:w="979" w:type="dxa"/>
            <w:shd w:val="clear" w:color="auto" w:fill="auto"/>
            <w:vAlign w:val="center"/>
          </w:tcPr>
          <w:p w:rsidR="00B45252" w:rsidRPr="00546D01" w:rsidRDefault="00B45252" w:rsidP="002E5A66">
            <w:pPr>
              <w:spacing w:after="0" w:line="240" w:lineRule="auto"/>
              <w:jc w:val="center"/>
              <w:rPr>
                <w:rFonts w:ascii="Century Gothic" w:hAnsi="Century Gothic" w:cs="Calibri"/>
                <w:sz w:val="16"/>
                <w:szCs w:val="16"/>
                <w:lang w:val="en-GB"/>
              </w:rPr>
            </w:pPr>
            <w:r w:rsidRPr="00546D01">
              <w:rPr>
                <w:rFonts w:ascii="Century Gothic" w:hAnsi="Century Gothic" w:cs="Calibri"/>
                <w:sz w:val="16"/>
                <w:szCs w:val="16"/>
                <w:lang w:val="en-GB"/>
              </w:rPr>
              <w:t>76%</w:t>
            </w:r>
          </w:p>
        </w:tc>
        <w:tc>
          <w:tcPr>
            <w:tcW w:w="980" w:type="dxa"/>
            <w:shd w:val="clear" w:color="auto" w:fill="auto"/>
            <w:vAlign w:val="center"/>
          </w:tcPr>
          <w:p w:rsidR="00B45252" w:rsidRPr="00546D01" w:rsidRDefault="00B45252" w:rsidP="002E5A66">
            <w:pPr>
              <w:spacing w:after="0" w:line="240" w:lineRule="auto"/>
              <w:jc w:val="center"/>
              <w:rPr>
                <w:rFonts w:ascii="Century Gothic" w:hAnsi="Century Gothic" w:cs="Calibri"/>
                <w:sz w:val="16"/>
                <w:szCs w:val="16"/>
                <w:lang w:val="en-GB"/>
              </w:rPr>
            </w:pPr>
            <w:r w:rsidRPr="00546D01">
              <w:rPr>
                <w:rFonts w:ascii="Century Gothic" w:hAnsi="Century Gothic" w:cs="Calibri"/>
                <w:sz w:val="16"/>
                <w:szCs w:val="16"/>
                <w:lang w:val="en-GB"/>
              </w:rPr>
              <w:t>75%</w:t>
            </w:r>
          </w:p>
        </w:tc>
        <w:tc>
          <w:tcPr>
            <w:tcW w:w="667" w:type="dxa"/>
            <w:shd w:val="clear" w:color="auto" w:fill="auto"/>
            <w:vAlign w:val="center"/>
          </w:tcPr>
          <w:p w:rsidR="00B45252" w:rsidRPr="00546D01" w:rsidRDefault="00B45252" w:rsidP="002E5A66">
            <w:pPr>
              <w:spacing w:after="0" w:line="240" w:lineRule="auto"/>
              <w:jc w:val="center"/>
              <w:rPr>
                <w:rFonts w:ascii="Century Gothic" w:hAnsi="Century Gothic" w:cs="Calibri"/>
                <w:sz w:val="16"/>
                <w:szCs w:val="16"/>
                <w:lang w:val="en-GB"/>
              </w:rPr>
            </w:pPr>
            <w:r w:rsidRPr="00546D01">
              <w:rPr>
                <w:rFonts w:ascii="Century Gothic" w:hAnsi="Century Gothic" w:cs="Calibri"/>
                <w:sz w:val="16"/>
                <w:szCs w:val="16"/>
                <w:lang w:val="en-GB"/>
              </w:rPr>
              <w:t>1000</w:t>
            </w:r>
          </w:p>
        </w:tc>
        <w:tc>
          <w:tcPr>
            <w:tcW w:w="863" w:type="dxa"/>
            <w:shd w:val="clear" w:color="auto" w:fill="auto"/>
            <w:vAlign w:val="center"/>
          </w:tcPr>
          <w:p w:rsidR="00B45252" w:rsidRPr="00546D01" w:rsidRDefault="00B45252" w:rsidP="002E5A66">
            <w:pPr>
              <w:spacing w:after="0" w:line="240" w:lineRule="auto"/>
              <w:jc w:val="center"/>
              <w:rPr>
                <w:rFonts w:ascii="Century Gothic" w:hAnsi="Century Gothic" w:cs="Calibri"/>
                <w:sz w:val="16"/>
                <w:szCs w:val="16"/>
                <w:lang w:val="en-GB"/>
              </w:rPr>
            </w:pPr>
            <w:r w:rsidRPr="00546D01">
              <w:rPr>
                <w:rFonts w:ascii="Century Gothic" w:hAnsi="Century Gothic" w:cs="Calibri"/>
                <w:sz w:val="16"/>
                <w:szCs w:val="16"/>
                <w:lang w:val="en-GB"/>
              </w:rPr>
              <w:t>74%</w:t>
            </w:r>
          </w:p>
        </w:tc>
        <w:tc>
          <w:tcPr>
            <w:tcW w:w="720" w:type="dxa"/>
            <w:shd w:val="clear" w:color="auto" w:fill="auto"/>
            <w:vAlign w:val="center"/>
          </w:tcPr>
          <w:p w:rsidR="00B45252" w:rsidRPr="00546D01" w:rsidRDefault="00B45252" w:rsidP="002E5A66">
            <w:pPr>
              <w:spacing w:after="0" w:line="240" w:lineRule="auto"/>
              <w:jc w:val="center"/>
              <w:rPr>
                <w:rFonts w:ascii="Century Gothic" w:hAnsi="Century Gothic" w:cs="Calibri"/>
                <w:sz w:val="16"/>
                <w:szCs w:val="16"/>
                <w:lang w:val="en-GB"/>
              </w:rPr>
            </w:pPr>
            <w:r w:rsidRPr="00546D01">
              <w:rPr>
                <w:rFonts w:ascii="Century Gothic" w:hAnsi="Century Gothic" w:cs="Calibri"/>
                <w:sz w:val="16"/>
                <w:szCs w:val="16"/>
                <w:lang w:val="en-GB"/>
              </w:rPr>
              <w:t>1200</w:t>
            </w:r>
          </w:p>
        </w:tc>
        <w:tc>
          <w:tcPr>
            <w:tcW w:w="990" w:type="dxa"/>
            <w:shd w:val="clear" w:color="auto" w:fill="auto"/>
            <w:vAlign w:val="center"/>
          </w:tcPr>
          <w:p w:rsidR="00B45252" w:rsidRPr="00546D01" w:rsidRDefault="00B45252" w:rsidP="002E5A66">
            <w:pPr>
              <w:spacing w:after="0" w:line="240" w:lineRule="auto"/>
              <w:jc w:val="center"/>
              <w:rPr>
                <w:rFonts w:ascii="Century Gothic" w:hAnsi="Century Gothic" w:cs="Calibri"/>
                <w:sz w:val="16"/>
                <w:szCs w:val="16"/>
                <w:lang w:val="en-GB"/>
              </w:rPr>
            </w:pPr>
            <w:r w:rsidRPr="00546D01">
              <w:rPr>
                <w:rFonts w:ascii="Century Gothic" w:hAnsi="Century Gothic" w:cs="Calibri"/>
                <w:sz w:val="16"/>
                <w:szCs w:val="16"/>
                <w:lang w:val="en-GB"/>
              </w:rPr>
              <w:t>70%</w:t>
            </w:r>
          </w:p>
        </w:tc>
        <w:tc>
          <w:tcPr>
            <w:tcW w:w="720" w:type="dxa"/>
            <w:shd w:val="clear" w:color="auto" w:fill="auto"/>
            <w:vAlign w:val="center"/>
          </w:tcPr>
          <w:p w:rsidR="00B45252" w:rsidRPr="00546D01" w:rsidRDefault="00B45252" w:rsidP="002E5A66">
            <w:pPr>
              <w:spacing w:after="0" w:line="240" w:lineRule="auto"/>
              <w:jc w:val="center"/>
              <w:rPr>
                <w:rFonts w:ascii="Century Gothic" w:hAnsi="Century Gothic" w:cs="Calibri"/>
                <w:sz w:val="16"/>
                <w:szCs w:val="16"/>
                <w:lang w:val="en-GB"/>
              </w:rPr>
            </w:pPr>
            <w:r w:rsidRPr="00546D01">
              <w:rPr>
                <w:rFonts w:ascii="Century Gothic" w:hAnsi="Century Gothic" w:cs="Calibri"/>
                <w:sz w:val="16"/>
                <w:szCs w:val="16"/>
                <w:lang w:val="en-GB"/>
              </w:rPr>
              <w:t>1200</w:t>
            </w:r>
          </w:p>
        </w:tc>
      </w:tr>
      <w:tr w:rsidR="00B45252" w:rsidRPr="00546D01" w:rsidTr="002E5A66">
        <w:tc>
          <w:tcPr>
            <w:tcW w:w="1764" w:type="dxa"/>
            <w:shd w:val="clear" w:color="auto" w:fill="auto"/>
          </w:tcPr>
          <w:p w:rsidR="00B45252" w:rsidRPr="00546D01" w:rsidRDefault="00B45252" w:rsidP="002E5A66">
            <w:pPr>
              <w:spacing w:after="0" w:line="240" w:lineRule="auto"/>
              <w:rPr>
                <w:rFonts w:ascii="Century Gothic" w:hAnsi="Century Gothic" w:cs="Calibri"/>
                <w:sz w:val="16"/>
                <w:szCs w:val="16"/>
                <w:lang w:val="en-GB"/>
              </w:rPr>
            </w:pPr>
          </w:p>
        </w:tc>
        <w:tc>
          <w:tcPr>
            <w:tcW w:w="979" w:type="dxa"/>
            <w:shd w:val="clear" w:color="auto" w:fill="auto"/>
            <w:vAlign w:val="center"/>
          </w:tcPr>
          <w:p w:rsidR="00B45252" w:rsidRPr="00546D01" w:rsidRDefault="00B45252" w:rsidP="002E5A66">
            <w:pPr>
              <w:spacing w:after="0" w:line="240" w:lineRule="auto"/>
              <w:jc w:val="center"/>
              <w:rPr>
                <w:rFonts w:ascii="Century Gothic" w:hAnsi="Century Gothic" w:cs="Calibri"/>
                <w:sz w:val="16"/>
                <w:szCs w:val="16"/>
                <w:lang w:val="en-GB"/>
              </w:rPr>
            </w:pPr>
          </w:p>
        </w:tc>
        <w:tc>
          <w:tcPr>
            <w:tcW w:w="979" w:type="dxa"/>
            <w:shd w:val="clear" w:color="auto" w:fill="auto"/>
            <w:vAlign w:val="center"/>
          </w:tcPr>
          <w:p w:rsidR="00B45252" w:rsidRPr="00546D01" w:rsidRDefault="00B45252" w:rsidP="002E5A66">
            <w:pPr>
              <w:spacing w:after="0" w:line="240" w:lineRule="auto"/>
              <w:jc w:val="center"/>
              <w:rPr>
                <w:rFonts w:ascii="Century Gothic" w:hAnsi="Century Gothic" w:cs="Calibri"/>
                <w:sz w:val="16"/>
                <w:szCs w:val="16"/>
                <w:lang w:val="en-GB"/>
              </w:rPr>
            </w:pPr>
          </w:p>
        </w:tc>
        <w:tc>
          <w:tcPr>
            <w:tcW w:w="979" w:type="dxa"/>
            <w:shd w:val="clear" w:color="auto" w:fill="auto"/>
            <w:vAlign w:val="center"/>
          </w:tcPr>
          <w:p w:rsidR="00B45252" w:rsidRPr="00546D01" w:rsidRDefault="00B45252" w:rsidP="002E5A66">
            <w:pPr>
              <w:spacing w:after="0" w:line="240" w:lineRule="auto"/>
              <w:jc w:val="center"/>
              <w:rPr>
                <w:rFonts w:ascii="Century Gothic" w:hAnsi="Century Gothic" w:cs="Calibri"/>
                <w:sz w:val="16"/>
                <w:szCs w:val="16"/>
                <w:lang w:val="en-GB"/>
              </w:rPr>
            </w:pPr>
          </w:p>
        </w:tc>
        <w:tc>
          <w:tcPr>
            <w:tcW w:w="979" w:type="dxa"/>
            <w:shd w:val="clear" w:color="auto" w:fill="auto"/>
            <w:vAlign w:val="center"/>
          </w:tcPr>
          <w:p w:rsidR="00B45252" w:rsidRPr="00546D01" w:rsidRDefault="00B45252" w:rsidP="002E5A66">
            <w:pPr>
              <w:spacing w:after="0" w:line="240" w:lineRule="auto"/>
              <w:jc w:val="center"/>
              <w:rPr>
                <w:rFonts w:ascii="Century Gothic" w:hAnsi="Century Gothic" w:cs="Calibri"/>
                <w:sz w:val="16"/>
                <w:szCs w:val="16"/>
                <w:lang w:val="en-GB"/>
              </w:rPr>
            </w:pPr>
          </w:p>
        </w:tc>
        <w:tc>
          <w:tcPr>
            <w:tcW w:w="980" w:type="dxa"/>
            <w:shd w:val="clear" w:color="auto" w:fill="auto"/>
            <w:vAlign w:val="center"/>
          </w:tcPr>
          <w:p w:rsidR="00B45252" w:rsidRPr="00546D01" w:rsidRDefault="00B45252" w:rsidP="002E5A66">
            <w:pPr>
              <w:spacing w:after="0" w:line="240" w:lineRule="auto"/>
              <w:jc w:val="center"/>
              <w:rPr>
                <w:rFonts w:ascii="Century Gothic" w:hAnsi="Century Gothic" w:cs="Calibri"/>
                <w:sz w:val="16"/>
                <w:szCs w:val="16"/>
                <w:lang w:val="en-GB"/>
              </w:rPr>
            </w:pPr>
          </w:p>
        </w:tc>
        <w:tc>
          <w:tcPr>
            <w:tcW w:w="667" w:type="dxa"/>
            <w:shd w:val="clear" w:color="auto" w:fill="auto"/>
            <w:vAlign w:val="center"/>
          </w:tcPr>
          <w:p w:rsidR="00B45252" w:rsidRPr="00546D01" w:rsidRDefault="00B45252" w:rsidP="002E5A66">
            <w:pPr>
              <w:spacing w:after="0" w:line="240" w:lineRule="auto"/>
              <w:jc w:val="center"/>
              <w:rPr>
                <w:rFonts w:ascii="Century Gothic" w:hAnsi="Century Gothic" w:cs="Calibri"/>
                <w:sz w:val="16"/>
                <w:szCs w:val="16"/>
                <w:lang w:val="en-GB"/>
              </w:rPr>
            </w:pPr>
          </w:p>
        </w:tc>
        <w:tc>
          <w:tcPr>
            <w:tcW w:w="863" w:type="dxa"/>
            <w:shd w:val="clear" w:color="auto" w:fill="auto"/>
            <w:vAlign w:val="center"/>
          </w:tcPr>
          <w:p w:rsidR="00B45252" w:rsidRPr="00546D01" w:rsidRDefault="00B45252" w:rsidP="002E5A66">
            <w:pPr>
              <w:spacing w:after="0" w:line="240" w:lineRule="auto"/>
              <w:jc w:val="center"/>
              <w:rPr>
                <w:rFonts w:ascii="Century Gothic" w:hAnsi="Century Gothic" w:cs="Calibri"/>
                <w:sz w:val="16"/>
                <w:szCs w:val="16"/>
                <w:lang w:val="en-GB"/>
              </w:rPr>
            </w:pPr>
          </w:p>
        </w:tc>
        <w:tc>
          <w:tcPr>
            <w:tcW w:w="720" w:type="dxa"/>
            <w:shd w:val="clear" w:color="auto" w:fill="auto"/>
            <w:vAlign w:val="center"/>
          </w:tcPr>
          <w:p w:rsidR="00B45252" w:rsidRPr="00546D01" w:rsidRDefault="00B45252" w:rsidP="002E5A66">
            <w:pPr>
              <w:spacing w:after="0" w:line="240" w:lineRule="auto"/>
              <w:jc w:val="center"/>
              <w:rPr>
                <w:rFonts w:ascii="Century Gothic" w:hAnsi="Century Gothic" w:cs="Calibri"/>
                <w:sz w:val="16"/>
                <w:szCs w:val="16"/>
                <w:lang w:val="en-GB"/>
              </w:rPr>
            </w:pPr>
          </w:p>
        </w:tc>
        <w:tc>
          <w:tcPr>
            <w:tcW w:w="990" w:type="dxa"/>
            <w:shd w:val="clear" w:color="auto" w:fill="auto"/>
            <w:vAlign w:val="center"/>
          </w:tcPr>
          <w:p w:rsidR="00B45252" w:rsidRPr="00546D01" w:rsidRDefault="00B45252" w:rsidP="002E5A66">
            <w:pPr>
              <w:spacing w:after="0" w:line="240" w:lineRule="auto"/>
              <w:jc w:val="center"/>
              <w:rPr>
                <w:rFonts w:ascii="Century Gothic" w:hAnsi="Century Gothic" w:cs="Calibri"/>
                <w:sz w:val="16"/>
                <w:szCs w:val="16"/>
                <w:lang w:val="en-GB"/>
              </w:rPr>
            </w:pPr>
          </w:p>
        </w:tc>
        <w:tc>
          <w:tcPr>
            <w:tcW w:w="720" w:type="dxa"/>
            <w:shd w:val="clear" w:color="auto" w:fill="auto"/>
            <w:vAlign w:val="center"/>
          </w:tcPr>
          <w:p w:rsidR="00B45252" w:rsidRPr="00546D01" w:rsidRDefault="00B45252" w:rsidP="002E5A66">
            <w:pPr>
              <w:spacing w:after="0" w:line="240" w:lineRule="auto"/>
              <w:jc w:val="center"/>
              <w:rPr>
                <w:rFonts w:ascii="Century Gothic" w:hAnsi="Century Gothic" w:cs="Calibri"/>
                <w:sz w:val="16"/>
                <w:szCs w:val="16"/>
                <w:lang w:val="en-GB"/>
              </w:rPr>
            </w:pPr>
          </w:p>
        </w:tc>
      </w:tr>
      <w:tr w:rsidR="00B45252" w:rsidRPr="00546D01" w:rsidTr="002E5A66">
        <w:tc>
          <w:tcPr>
            <w:tcW w:w="1764" w:type="dxa"/>
            <w:shd w:val="clear" w:color="auto" w:fill="auto"/>
          </w:tcPr>
          <w:p w:rsidR="00B45252" w:rsidRPr="00546D01" w:rsidRDefault="00B45252" w:rsidP="002E5A66">
            <w:pPr>
              <w:spacing w:after="0" w:line="240" w:lineRule="auto"/>
              <w:rPr>
                <w:rFonts w:ascii="Century Gothic" w:hAnsi="Century Gothic" w:cs="Calibri"/>
                <w:sz w:val="14"/>
                <w:szCs w:val="14"/>
                <w:lang w:val="en-GB"/>
              </w:rPr>
            </w:pPr>
            <w:r w:rsidRPr="00546D01">
              <w:rPr>
                <w:rFonts w:ascii="Century Gothic" w:hAnsi="Century Gothic" w:cs="Calibri"/>
                <w:sz w:val="14"/>
                <w:szCs w:val="14"/>
                <w:lang w:val="en-GB"/>
              </w:rPr>
              <w:t>Age appropriate vaccination*</w:t>
            </w:r>
          </w:p>
        </w:tc>
        <w:tc>
          <w:tcPr>
            <w:tcW w:w="979" w:type="dxa"/>
            <w:shd w:val="clear" w:color="auto" w:fill="auto"/>
            <w:vAlign w:val="center"/>
          </w:tcPr>
          <w:p w:rsidR="00B45252" w:rsidRPr="00546D01" w:rsidRDefault="00B45252" w:rsidP="002E5A66">
            <w:pPr>
              <w:spacing w:after="0" w:line="240" w:lineRule="auto"/>
              <w:jc w:val="center"/>
              <w:rPr>
                <w:rFonts w:ascii="Century Gothic" w:hAnsi="Century Gothic" w:cs="Calibri"/>
                <w:sz w:val="16"/>
                <w:szCs w:val="16"/>
                <w:lang w:val="en-GB"/>
              </w:rPr>
            </w:pPr>
            <w:r w:rsidRPr="00546D01">
              <w:rPr>
                <w:rFonts w:ascii="Century Gothic" w:hAnsi="Century Gothic" w:cs="Calibri"/>
                <w:sz w:val="16"/>
                <w:szCs w:val="16"/>
                <w:lang w:val="en-GB"/>
              </w:rPr>
              <w:t>88%</w:t>
            </w:r>
          </w:p>
        </w:tc>
        <w:tc>
          <w:tcPr>
            <w:tcW w:w="979" w:type="dxa"/>
            <w:shd w:val="clear" w:color="auto" w:fill="auto"/>
            <w:vAlign w:val="center"/>
          </w:tcPr>
          <w:p w:rsidR="00B45252" w:rsidRPr="00546D01" w:rsidRDefault="00B45252" w:rsidP="002E5A66">
            <w:pPr>
              <w:spacing w:after="0" w:line="240" w:lineRule="auto"/>
              <w:jc w:val="center"/>
              <w:rPr>
                <w:rFonts w:ascii="Century Gothic" w:hAnsi="Century Gothic" w:cs="Calibri"/>
                <w:sz w:val="16"/>
                <w:szCs w:val="16"/>
                <w:lang w:val="en-GB"/>
              </w:rPr>
            </w:pPr>
            <w:r w:rsidRPr="00546D01">
              <w:rPr>
                <w:rFonts w:ascii="Century Gothic" w:hAnsi="Century Gothic" w:cs="Calibri"/>
                <w:sz w:val="16"/>
                <w:szCs w:val="16"/>
                <w:lang w:val="en-GB"/>
              </w:rPr>
              <w:t>85%</w:t>
            </w:r>
          </w:p>
        </w:tc>
        <w:tc>
          <w:tcPr>
            <w:tcW w:w="979" w:type="dxa"/>
            <w:shd w:val="clear" w:color="auto" w:fill="auto"/>
            <w:vAlign w:val="center"/>
          </w:tcPr>
          <w:p w:rsidR="00B45252" w:rsidRPr="00546D01" w:rsidRDefault="00B45252" w:rsidP="002E5A66">
            <w:pPr>
              <w:spacing w:after="0" w:line="240" w:lineRule="auto"/>
              <w:jc w:val="center"/>
              <w:rPr>
                <w:rFonts w:ascii="Century Gothic" w:hAnsi="Century Gothic" w:cs="Calibri"/>
                <w:sz w:val="16"/>
                <w:szCs w:val="16"/>
                <w:lang w:val="en-GB"/>
              </w:rPr>
            </w:pPr>
            <w:r w:rsidRPr="00546D01">
              <w:rPr>
                <w:rFonts w:ascii="Century Gothic" w:hAnsi="Century Gothic" w:cs="Calibri"/>
                <w:sz w:val="16"/>
                <w:szCs w:val="16"/>
                <w:lang w:val="en-GB"/>
              </w:rPr>
              <w:t>85%</w:t>
            </w:r>
          </w:p>
        </w:tc>
        <w:tc>
          <w:tcPr>
            <w:tcW w:w="979" w:type="dxa"/>
            <w:shd w:val="clear" w:color="auto" w:fill="auto"/>
            <w:vAlign w:val="center"/>
          </w:tcPr>
          <w:p w:rsidR="00B45252" w:rsidRPr="00546D01" w:rsidRDefault="00B45252" w:rsidP="002E5A66">
            <w:pPr>
              <w:spacing w:after="0" w:line="240" w:lineRule="auto"/>
              <w:jc w:val="center"/>
              <w:rPr>
                <w:rFonts w:ascii="Century Gothic" w:hAnsi="Century Gothic" w:cs="Calibri"/>
                <w:sz w:val="16"/>
                <w:szCs w:val="16"/>
                <w:lang w:val="en-GB"/>
              </w:rPr>
            </w:pPr>
            <w:r w:rsidRPr="00546D01">
              <w:rPr>
                <w:rFonts w:ascii="Century Gothic" w:hAnsi="Century Gothic" w:cs="Calibri"/>
                <w:sz w:val="16"/>
                <w:szCs w:val="16"/>
                <w:lang w:val="en-GB"/>
              </w:rPr>
              <w:t>72%</w:t>
            </w:r>
          </w:p>
        </w:tc>
        <w:tc>
          <w:tcPr>
            <w:tcW w:w="980" w:type="dxa"/>
            <w:shd w:val="clear" w:color="auto" w:fill="auto"/>
            <w:vAlign w:val="center"/>
          </w:tcPr>
          <w:p w:rsidR="00B45252" w:rsidRPr="00546D01" w:rsidRDefault="00B45252" w:rsidP="002E5A66">
            <w:pPr>
              <w:spacing w:after="0" w:line="240" w:lineRule="auto"/>
              <w:jc w:val="center"/>
              <w:rPr>
                <w:rFonts w:ascii="Century Gothic" w:hAnsi="Century Gothic" w:cs="Calibri"/>
                <w:sz w:val="16"/>
                <w:szCs w:val="16"/>
                <w:lang w:val="en-GB"/>
              </w:rPr>
            </w:pPr>
            <w:r w:rsidRPr="00546D01">
              <w:rPr>
                <w:rFonts w:ascii="Century Gothic" w:hAnsi="Century Gothic" w:cs="Calibri"/>
                <w:sz w:val="16"/>
                <w:szCs w:val="16"/>
                <w:lang w:val="en-GB"/>
              </w:rPr>
              <w:t>72%</w:t>
            </w:r>
          </w:p>
        </w:tc>
        <w:tc>
          <w:tcPr>
            <w:tcW w:w="667" w:type="dxa"/>
            <w:shd w:val="clear" w:color="auto" w:fill="auto"/>
            <w:vAlign w:val="center"/>
          </w:tcPr>
          <w:p w:rsidR="00B45252" w:rsidRPr="00546D01" w:rsidRDefault="00B45252" w:rsidP="002E5A66">
            <w:pPr>
              <w:spacing w:after="0" w:line="240" w:lineRule="auto"/>
              <w:jc w:val="center"/>
              <w:rPr>
                <w:rFonts w:ascii="Century Gothic" w:hAnsi="Century Gothic" w:cs="Calibri"/>
                <w:sz w:val="16"/>
                <w:szCs w:val="16"/>
                <w:lang w:val="en-GB"/>
              </w:rPr>
            </w:pPr>
            <w:r w:rsidRPr="00546D01">
              <w:rPr>
                <w:rFonts w:ascii="Century Gothic" w:hAnsi="Century Gothic" w:cs="Calibri"/>
                <w:sz w:val="16"/>
                <w:szCs w:val="16"/>
                <w:lang w:val="en-GB"/>
              </w:rPr>
              <w:t>1000</w:t>
            </w:r>
          </w:p>
        </w:tc>
        <w:tc>
          <w:tcPr>
            <w:tcW w:w="863" w:type="dxa"/>
            <w:shd w:val="clear" w:color="auto" w:fill="auto"/>
            <w:vAlign w:val="center"/>
          </w:tcPr>
          <w:p w:rsidR="00B45252" w:rsidRPr="00546D01" w:rsidRDefault="00B45252" w:rsidP="002E5A66">
            <w:pPr>
              <w:spacing w:after="0" w:line="240" w:lineRule="auto"/>
              <w:jc w:val="center"/>
              <w:rPr>
                <w:rFonts w:ascii="Century Gothic" w:hAnsi="Century Gothic" w:cs="Calibri"/>
                <w:sz w:val="16"/>
                <w:szCs w:val="16"/>
                <w:lang w:val="en-GB"/>
              </w:rPr>
            </w:pPr>
            <w:r w:rsidRPr="00546D01">
              <w:rPr>
                <w:rFonts w:ascii="Century Gothic" w:hAnsi="Century Gothic" w:cs="Calibri"/>
                <w:sz w:val="16"/>
                <w:szCs w:val="16"/>
                <w:lang w:val="en-GB"/>
              </w:rPr>
              <w:t>72%</w:t>
            </w:r>
          </w:p>
        </w:tc>
        <w:tc>
          <w:tcPr>
            <w:tcW w:w="720" w:type="dxa"/>
            <w:shd w:val="clear" w:color="auto" w:fill="auto"/>
            <w:vAlign w:val="center"/>
          </w:tcPr>
          <w:p w:rsidR="00B45252" w:rsidRPr="00546D01" w:rsidRDefault="00B45252" w:rsidP="002E5A66">
            <w:pPr>
              <w:spacing w:after="0" w:line="240" w:lineRule="auto"/>
              <w:jc w:val="center"/>
              <w:rPr>
                <w:rFonts w:ascii="Century Gothic" w:hAnsi="Century Gothic" w:cs="Calibri"/>
                <w:sz w:val="16"/>
                <w:szCs w:val="16"/>
                <w:lang w:val="en-GB"/>
              </w:rPr>
            </w:pPr>
            <w:r w:rsidRPr="00546D01">
              <w:rPr>
                <w:rFonts w:ascii="Century Gothic" w:hAnsi="Century Gothic" w:cs="Calibri"/>
                <w:sz w:val="16"/>
                <w:szCs w:val="16"/>
                <w:lang w:val="en-GB"/>
              </w:rPr>
              <w:t>1200</w:t>
            </w:r>
          </w:p>
        </w:tc>
        <w:tc>
          <w:tcPr>
            <w:tcW w:w="990" w:type="dxa"/>
            <w:shd w:val="clear" w:color="auto" w:fill="auto"/>
            <w:vAlign w:val="center"/>
          </w:tcPr>
          <w:p w:rsidR="00B45252" w:rsidRPr="00546D01" w:rsidRDefault="00B45252" w:rsidP="002E5A66">
            <w:pPr>
              <w:spacing w:after="0" w:line="240" w:lineRule="auto"/>
              <w:jc w:val="center"/>
              <w:rPr>
                <w:rFonts w:ascii="Century Gothic" w:hAnsi="Century Gothic" w:cs="Calibri"/>
                <w:sz w:val="16"/>
                <w:szCs w:val="16"/>
                <w:lang w:val="en-GB"/>
              </w:rPr>
            </w:pPr>
            <w:r w:rsidRPr="00546D01">
              <w:rPr>
                <w:rFonts w:ascii="Century Gothic" w:hAnsi="Century Gothic" w:cs="Calibri"/>
                <w:sz w:val="16"/>
                <w:szCs w:val="16"/>
                <w:lang w:val="en-GB"/>
              </w:rPr>
              <w:t>70%</w:t>
            </w:r>
          </w:p>
        </w:tc>
        <w:tc>
          <w:tcPr>
            <w:tcW w:w="720" w:type="dxa"/>
            <w:shd w:val="clear" w:color="auto" w:fill="auto"/>
            <w:vAlign w:val="center"/>
          </w:tcPr>
          <w:p w:rsidR="00B45252" w:rsidRPr="00546D01" w:rsidRDefault="00B45252" w:rsidP="002E5A66">
            <w:pPr>
              <w:spacing w:after="0" w:line="240" w:lineRule="auto"/>
              <w:jc w:val="center"/>
              <w:rPr>
                <w:rFonts w:ascii="Century Gothic" w:hAnsi="Century Gothic" w:cs="Calibri"/>
                <w:sz w:val="16"/>
                <w:szCs w:val="16"/>
                <w:lang w:val="en-GB"/>
              </w:rPr>
            </w:pPr>
            <w:r w:rsidRPr="00546D01">
              <w:rPr>
                <w:rFonts w:ascii="Century Gothic" w:hAnsi="Century Gothic" w:cs="Calibri"/>
                <w:sz w:val="16"/>
                <w:szCs w:val="16"/>
                <w:lang w:val="en-GB"/>
              </w:rPr>
              <w:t>1200</w:t>
            </w:r>
          </w:p>
        </w:tc>
      </w:tr>
    </w:tbl>
    <w:p w:rsidR="00D909BD" w:rsidRDefault="006C6D7D" w:rsidP="00B45252">
      <w:pPr>
        <w:ind w:left="720"/>
      </w:pPr>
      <w:r>
        <w:t xml:space="preserve"> </w:t>
      </w:r>
    </w:p>
    <w:p w:rsidR="007E5562" w:rsidRPr="00053D29" w:rsidRDefault="00B45252" w:rsidP="00B45252">
      <w:pPr>
        <w:ind w:left="720"/>
        <w:rPr>
          <w:rFonts w:ascii="Century" w:hAnsi="Century"/>
          <w:sz w:val="24"/>
          <w:szCs w:val="24"/>
        </w:rPr>
      </w:pPr>
      <w:r w:rsidRPr="00053D29">
        <w:rPr>
          <w:rFonts w:ascii="Century" w:hAnsi="Century"/>
          <w:sz w:val="24"/>
          <w:szCs w:val="24"/>
        </w:rPr>
        <w:t xml:space="preserve">The “age appropriate vaccination” </w:t>
      </w:r>
      <w:r w:rsidR="00F32844" w:rsidRPr="00053D29">
        <w:rPr>
          <w:rFonts w:ascii="Century" w:hAnsi="Century"/>
          <w:sz w:val="24"/>
          <w:szCs w:val="24"/>
        </w:rPr>
        <w:t xml:space="preserve">(last row in the table above) </w:t>
      </w:r>
      <w:r w:rsidRPr="00053D29">
        <w:rPr>
          <w:rFonts w:ascii="Century" w:hAnsi="Century"/>
          <w:sz w:val="24"/>
          <w:szCs w:val="24"/>
        </w:rPr>
        <w:t>would reflect coverage by 12 months of age in the 12-23 months cohort for vaccinations recommended between 0-11 months of age, by 24 months of age in the cohort 24-35 months of age for vaccinations recommended 12-23 months of age and by 36 months of age in the cohort 36 – 47 months of age for vaccinations recommended 24-35 months of age.</w:t>
      </w:r>
    </w:p>
    <w:p w:rsidR="00727F7F" w:rsidRPr="00053D29" w:rsidRDefault="00B45252" w:rsidP="00727F7F">
      <w:pPr>
        <w:ind w:left="720"/>
        <w:rPr>
          <w:rFonts w:ascii="Century" w:hAnsi="Century"/>
          <w:sz w:val="24"/>
          <w:szCs w:val="24"/>
        </w:rPr>
      </w:pPr>
      <w:r w:rsidRPr="00053D29">
        <w:rPr>
          <w:rFonts w:ascii="Century" w:hAnsi="Century"/>
          <w:sz w:val="24"/>
          <w:szCs w:val="24"/>
        </w:rPr>
        <w:t>One could also consider presenting the age appropriate coverage for the older cohorts as well.</w:t>
      </w:r>
    </w:p>
    <w:p w:rsidR="00615961" w:rsidRPr="00053D29" w:rsidRDefault="000355F3" w:rsidP="00615961">
      <w:pPr>
        <w:pStyle w:val="ListParagraph"/>
        <w:numPr>
          <w:ilvl w:val="0"/>
          <w:numId w:val="2"/>
        </w:numPr>
        <w:rPr>
          <w:rFonts w:ascii="Century" w:hAnsi="Century"/>
          <w:sz w:val="24"/>
          <w:szCs w:val="24"/>
        </w:rPr>
      </w:pPr>
      <w:r w:rsidRPr="00053D29">
        <w:rPr>
          <w:rFonts w:ascii="Century" w:hAnsi="Century"/>
          <w:b/>
          <w:sz w:val="24"/>
          <w:szCs w:val="24"/>
        </w:rPr>
        <w:t>Addition of inactivated polio vacc</w:t>
      </w:r>
      <w:r w:rsidR="00727F7F" w:rsidRPr="00053D29">
        <w:rPr>
          <w:rFonts w:ascii="Century" w:hAnsi="Century"/>
          <w:b/>
          <w:sz w:val="24"/>
          <w:szCs w:val="24"/>
        </w:rPr>
        <w:t>ine (IPV) to national schedules:</w:t>
      </w:r>
      <w:r w:rsidRPr="00053D29">
        <w:rPr>
          <w:rFonts w:ascii="Century" w:hAnsi="Century"/>
          <w:sz w:val="24"/>
          <w:szCs w:val="24"/>
        </w:rPr>
        <w:t xml:space="preserve"> Most low and middle income countries currently recommend three (in some instances four) doses of oral polio vaccine (OPV) in infancy. </w:t>
      </w:r>
      <w:r w:rsidR="00727F7F" w:rsidRPr="00053D29">
        <w:rPr>
          <w:rFonts w:ascii="Century" w:hAnsi="Century"/>
          <w:sz w:val="24"/>
          <w:szCs w:val="24"/>
        </w:rPr>
        <w:t xml:space="preserve"> In November 2013, WHO’s Strategic Advisory Group of Experts </w:t>
      </w:r>
      <w:r w:rsidR="00F32844" w:rsidRPr="00053D29">
        <w:rPr>
          <w:rFonts w:ascii="Century" w:hAnsi="Century"/>
          <w:sz w:val="24"/>
          <w:szCs w:val="24"/>
        </w:rPr>
        <w:t xml:space="preserve">on Immunization </w:t>
      </w:r>
      <w:r w:rsidR="00727F7F" w:rsidRPr="00053D29">
        <w:rPr>
          <w:rFonts w:ascii="Century" w:hAnsi="Century"/>
          <w:sz w:val="24"/>
          <w:szCs w:val="24"/>
        </w:rPr>
        <w:t xml:space="preserve">(SAGE) recommended </w:t>
      </w:r>
      <w:r w:rsidR="00727F7F" w:rsidRPr="00053D29">
        <w:rPr>
          <w:rFonts w:ascii="Century" w:hAnsi="Century"/>
          <w:sz w:val="24"/>
          <w:szCs w:val="24"/>
        </w:rPr>
        <w:lastRenderedPageBreak/>
        <w:t>that countries introduce one dose of IPV at the same time as the third dose of OPV and DTP-containing vaccine (</w:t>
      </w:r>
      <w:hyperlink r:id="rId7" w:history="1">
        <w:r w:rsidR="00727F7F" w:rsidRPr="00053D29">
          <w:rPr>
            <w:rStyle w:val="Hyperlink"/>
            <w:rFonts w:ascii="Century" w:hAnsi="Century"/>
            <w:sz w:val="24"/>
            <w:szCs w:val="24"/>
          </w:rPr>
          <w:t>http://www.who.int/wer/2014/wer8901.pdf?ua=1</w:t>
        </w:r>
      </w:hyperlink>
      <w:r w:rsidR="009632C0" w:rsidRPr="00053D29">
        <w:rPr>
          <w:rFonts w:ascii="Century" w:hAnsi="Century"/>
          <w:sz w:val="24"/>
          <w:szCs w:val="24"/>
        </w:rPr>
        <w:t>; a</w:t>
      </w:r>
      <w:r w:rsidR="00727F7F" w:rsidRPr="00053D29">
        <w:rPr>
          <w:rFonts w:ascii="Century" w:hAnsi="Century"/>
          <w:sz w:val="24"/>
          <w:szCs w:val="24"/>
        </w:rPr>
        <w:t>ccessed 21 March 2014)</w:t>
      </w:r>
      <w:proofErr w:type="gramStart"/>
      <w:r w:rsidR="009632C0" w:rsidRPr="00053D29">
        <w:rPr>
          <w:rFonts w:ascii="Century" w:hAnsi="Century"/>
          <w:sz w:val="24"/>
          <w:szCs w:val="24"/>
        </w:rPr>
        <w:t>.</w:t>
      </w:r>
      <w:proofErr w:type="gramEnd"/>
      <w:r w:rsidR="00727F7F" w:rsidRPr="00053D29">
        <w:rPr>
          <w:rFonts w:ascii="Century" w:hAnsi="Century"/>
          <w:sz w:val="24"/>
          <w:szCs w:val="24"/>
        </w:rPr>
        <w:t xml:space="preserve"> Widespread adoption of this recommendation is expected in 2014 and 2015 and will constitute an additional </w:t>
      </w:r>
      <w:r w:rsidR="00F32844" w:rsidRPr="00053D29">
        <w:rPr>
          <w:rFonts w:ascii="Century" w:hAnsi="Century"/>
          <w:sz w:val="24"/>
          <w:szCs w:val="24"/>
        </w:rPr>
        <w:t xml:space="preserve">injectable vaccine </w:t>
      </w:r>
      <w:r w:rsidR="00727F7F" w:rsidRPr="00053D29">
        <w:rPr>
          <w:rFonts w:ascii="Century" w:hAnsi="Century"/>
          <w:sz w:val="24"/>
          <w:szCs w:val="24"/>
        </w:rPr>
        <w:t>in recommended infant immunization schedules. Documenting coverage of this dose will be important in monitoring compliance and progress towards polio eradication.</w:t>
      </w:r>
    </w:p>
    <w:p w:rsidR="00F32844" w:rsidRPr="00053D29" w:rsidRDefault="00F32844" w:rsidP="00053D29">
      <w:pPr>
        <w:pStyle w:val="ListParagraph"/>
        <w:rPr>
          <w:rFonts w:ascii="Century" w:hAnsi="Century"/>
          <w:sz w:val="24"/>
          <w:szCs w:val="24"/>
        </w:rPr>
      </w:pPr>
    </w:p>
    <w:p w:rsidR="00B45252" w:rsidRPr="00053D29" w:rsidRDefault="00B867D0" w:rsidP="009632C0">
      <w:pPr>
        <w:pStyle w:val="ListParagraph"/>
        <w:numPr>
          <w:ilvl w:val="0"/>
          <w:numId w:val="2"/>
        </w:numPr>
        <w:rPr>
          <w:rFonts w:ascii="Century" w:hAnsi="Century"/>
          <w:sz w:val="24"/>
          <w:szCs w:val="24"/>
        </w:rPr>
      </w:pPr>
      <w:r w:rsidRPr="00053D29">
        <w:rPr>
          <w:rFonts w:ascii="Century" w:hAnsi="Century"/>
          <w:b/>
          <w:sz w:val="24"/>
          <w:szCs w:val="24"/>
        </w:rPr>
        <w:t>Hepatitis B birth dose</w:t>
      </w:r>
      <w:r w:rsidR="00D75FF9" w:rsidRPr="00053D29">
        <w:rPr>
          <w:rFonts w:ascii="Century" w:hAnsi="Century"/>
          <w:b/>
          <w:sz w:val="24"/>
          <w:szCs w:val="24"/>
        </w:rPr>
        <w:t xml:space="preserve"> within twenty-four hours</w:t>
      </w:r>
      <w:r w:rsidR="00F32844" w:rsidRPr="00053D29">
        <w:rPr>
          <w:rFonts w:ascii="Century" w:hAnsi="Century"/>
          <w:b/>
          <w:sz w:val="24"/>
          <w:szCs w:val="24"/>
        </w:rPr>
        <w:t xml:space="preserve"> of birth</w:t>
      </w:r>
      <w:r w:rsidRPr="00053D29">
        <w:rPr>
          <w:rFonts w:ascii="Century" w:hAnsi="Century"/>
          <w:b/>
          <w:sz w:val="24"/>
          <w:szCs w:val="24"/>
        </w:rPr>
        <w:t>:</w:t>
      </w:r>
      <w:r w:rsidRPr="00053D29">
        <w:rPr>
          <w:rFonts w:ascii="Century" w:hAnsi="Century"/>
          <w:sz w:val="24"/>
          <w:szCs w:val="24"/>
        </w:rPr>
        <w:t xml:space="preserve"> Currently, WHO recommends that a dose of Hepatitis B vaccine be administered as soon as possible following birth and preferably no later than the first 24 hours </w:t>
      </w:r>
      <w:r w:rsidR="000355F3" w:rsidRPr="00053D29">
        <w:rPr>
          <w:rFonts w:ascii="Century" w:hAnsi="Century"/>
          <w:sz w:val="24"/>
          <w:szCs w:val="24"/>
        </w:rPr>
        <w:t xml:space="preserve">of life </w:t>
      </w:r>
      <w:r w:rsidRPr="00053D29">
        <w:rPr>
          <w:rFonts w:ascii="Century" w:hAnsi="Century"/>
          <w:sz w:val="24"/>
          <w:szCs w:val="24"/>
        </w:rPr>
        <w:t>to prevent perinatal transmission of the hepatitis B virus</w:t>
      </w:r>
      <w:r w:rsidR="009632C0" w:rsidRPr="00053D29">
        <w:rPr>
          <w:rFonts w:ascii="Century" w:hAnsi="Century"/>
          <w:sz w:val="24"/>
          <w:szCs w:val="24"/>
        </w:rPr>
        <w:t xml:space="preserve"> </w:t>
      </w:r>
      <w:hyperlink r:id="rId8" w:history="1">
        <w:r w:rsidR="009632C0" w:rsidRPr="00053D29">
          <w:rPr>
            <w:rStyle w:val="Hyperlink"/>
            <w:rFonts w:ascii="Century" w:hAnsi="Century"/>
            <w:sz w:val="24"/>
            <w:szCs w:val="24"/>
          </w:rPr>
          <w:t>http://www.who.int/wer/2009/wer8440.pdf?ua=1</w:t>
        </w:r>
      </w:hyperlink>
      <w:r w:rsidR="009632C0" w:rsidRPr="00053D29">
        <w:rPr>
          <w:rFonts w:ascii="Century" w:hAnsi="Century"/>
          <w:sz w:val="24"/>
          <w:szCs w:val="24"/>
        </w:rPr>
        <w:t>; accessed 21 March 2014)</w:t>
      </w:r>
      <w:r w:rsidRPr="00053D29">
        <w:rPr>
          <w:rFonts w:ascii="Century" w:hAnsi="Century"/>
          <w:sz w:val="24"/>
          <w:szCs w:val="24"/>
        </w:rPr>
        <w:t xml:space="preserve">.  We recommend presenting hepatitis B birth dose coverage as those doses which are administered on the same or subsequent day as the birth. </w:t>
      </w:r>
      <w:r w:rsidR="000355F3" w:rsidRPr="00053D29">
        <w:rPr>
          <w:rFonts w:ascii="Century" w:hAnsi="Century"/>
          <w:sz w:val="24"/>
          <w:szCs w:val="24"/>
        </w:rPr>
        <w:t>W</w:t>
      </w:r>
      <w:r w:rsidRPr="00053D29">
        <w:rPr>
          <w:rFonts w:ascii="Century" w:hAnsi="Century"/>
          <w:sz w:val="24"/>
          <w:szCs w:val="24"/>
        </w:rPr>
        <w:t xml:space="preserve">hile a vaccination whose administration date coincides with the birth date may be assumed to </w:t>
      </w:r>
      <w:r w:rsidR="000355F3" w:rsidRPr="00053D29">
        <w:rPr>
          <w:rFonts w:ascii="Century" w:hAnsi="Century"/>
          <w:sz w:val="24"/>
          <w:szCs w:val="24"/>
        </w:rPr>
        <w:t>meet the criteria as a birth dose</w:t>
      </w:r>
      <w:r w:rsidRPr="00053D29">
        <w:rPr>
          <w:rFonts w:ascii="Century" w:hAnsi="Century"/>
          <w:sz w:val="24"/>
          <w:szCs w:val="24"/>
        </w:rPr>
        <w:t xml:space="preserve">, </w:t>
      </w:r>
      <w:r w:rsidR="000355F3" w:rsidRPr="00053D29">
        <w:rPr>
          <w:rFonts w:ascii="Century" w:hAnsi="Century"/>
          <w:sz w:val="24"/>
          <w:szCs w:val="24"/>
        </w:rPr>
        <w:t xml:space="preserve">we recognize that a </w:t>
      </w:r>
      <w:r w:rsidRPr="00053D29">
        <w:rPr>
          <w:rFonts w:ascii="Century" w:hAnsi="Century"/>
          <w:sz w:val="24"/>
          <w:szCs w:val="24"/>
        </w:rPr>
        <w:t>vaccination given on the day after birth can be up to 23 hours late</w:t>
      </w:r>
      <w:r w:rsidR="000355F3" w:rsidRPr="00053D29">
        <w:rPr>
          <w:rFonts w:ascii="Century" w:hAnsi="Century"/>
          <w:sz w:val="24"/>
          <w:szCs w:val="24"/>
        </w:rPr>
        <w:t xml:space="preserve"> and some overestimation of vaccination within twenty-four hours is inevitable.</w:t>
      </w:r>
      <w:r w:rsidRPr="00053D29">
        <w:rPr>
          <w:rFonts w:ascii="Century" w:hAnsi="Century"/>
          <w:sz w:val="24"/>
          <w:szCs w:val="24"/>
        </w:rPr>
        <w:t xml:space="preserve"> In cases of maternal recall, it is unclear whether it is better for the interviewer to prompt the mother to recall the hour of </w:t>
      </w:r>
      <w:r w:rsidR="000355F3" w:rsidRPr="00053D29">
        <w:rPr>
          <w:rFonts w:ascii="Century" w:hAnsi="Century"/>
          <w:sz w:val="24"/>
          <w:szCs w:val="24"/>
        </w:rPr>
        <w:t xml:space="preserve">hepatitis B </w:t>
      </w:r>
      <w:r w:rsidRPr="00053D29">
        <w:rPr>
          <w:rFonts w:ascii="Century" w:hAnsi="Century"/>
          <w:sz w:val="24"/>
          <w:szCs w:val="24"/>
        </w:rPr>
        <w:t xml:space="preserve">vaccination or </w:t>
      </w:r>
      <w:r w:rsidR="000355F3" w:rsidRPr="00053D29">
        <w:rPr>
          <w:rFonts w:ascii="Century" w:hAnsi="Century"/>
          <w:sz w:val="24"/>
          <w:szCs w:val="24"/>
        </w:rPr>
        <w:t xml:space="preserve">simply </w:t>
      </w:r>
      <w:r w:rsidRPr="00053D29">
        <w:rPr>
          <w:rFonts w:ascii="Century" w:hAnsi="Century"/>
          <w:sz w:val="24"/>
          <w:szCs w:val="24"/>
        </w:rPr>
        <w:t xml:space="preserve">the date. It is quite possible that the mother, while present at the time of birth, would not necessary know the date/time of vaccine administration. </w:t>
      </w:r>
      <w:r w:rsidR="000355F3" w:rsidRPr="00053D29">
        <w:rPr>
          <w:rFonts w:ascii="Century" w:hAnsi="Century"/>
          <w:sz w:val="24"/>
          <w:szCs w:val="24"/>
        </w:rPr>
        <w:t>Furthermore, w</w:t>
      </w:r>
      <w:r w:rsidRPr="00053D29">
        <w:rPr>
          <w:rFonts w:ascii="Century" w:hAnsi="Century"/>
          <w:sz w:val="24"/>
          <w:szCs w:val="24"/>
        </w:rPr>
        <w:t>e understand that date of birth is not always available, or if available, it is not always reliable and that data are frequently collected for month and year of birth without including the precise date. We do recommend, howe</w:t>
      </w:r>
      <w:r w:rsidR="000355F3" w:rsidRPr="00053D29">
        <w:rPr>
          <w:rFonts w:ascii="Century" w:hAnsi="Century"/>
          <w:sz w:val="24"/>
          <w:szCs w:val="24"/>
        </w:rPr>
        <w:t>ver, that whenever possible an attempt to determine whether the first dose of hepatitis B was given during the first twenty-four hours of life be made and reported.</w:t>
      </w:r>
    </w:p>
    <w:p w:rsidR="00F32844" w:rsidRPr="00053D29" w:rsidRDefault="00F32844" w:rsidP="00053D29">
      <w:pPr>
        <w:pStyle w:val="ListParagraph"/>
        <w:rPr>
          <w:rFonts w:ascii="Century" w:hAnsi="Century"/>
          <w:sz w:val="24"/>
          <w:szCs w:val="24"/>
        </w:rPr>
      </w:pPr>
    </w:p>
    <w:p w:rsidR="00F32844" w:rsidRPr="00053D29" w:rsidRDefault="00D75FF9">
      <w:pPr>
        <w:pStyle w:val="ListParagraph"/>
        <w:numPr>
          <w:ilvl w:val="0"/>
          <w:numId w:val="2"/>
        </w:numPr>
        <w:rPr>
          <w:rFonts w:ascii="Century" w:hAnsi="Century"/>
          <w:sz w:val="24"/>
          <w:szCs w:val="24"/>
        </w:rPr>
      </w:pPr>
      <w:r w:rsidRPr="00053D29">
        <w:rPr>
          <w:rFonts w:ascii="Century" w:hAnsi="Century"/>
          <w:b/>
          <w:sz w:val="24"/>
          <w:szCs w:val="24"/>
        </w:rPr>
        <w:t>Human papillomavirus vaccine (HPV) recommended for girls nine through twelve years of age:</w:t>
      </w:r>
      <w:r w:rsidRPr="00053D29">
        <w:rPr>
          <w:rFonts w:ascii="Century" w:hAnsi="Century"/>
          <w:sz w:val="24"/>
          <w:szCs w:val="24"/>
        </w:rPr>
        <w:t xml:space="preserve">  Human papillomavirus is a major cause of cervical cancer and WHO recommends that HPV be included in national immunization schedules if prevention of cervical cancer is a public health priority, vaccine introduction is programmatically feasible, and sustainable financing can be secured (</w:t>
      </w:r>
      <w:hyperlink r:id="rId9" w:history="1">
        <w:r w:rsidRPr="00053D29">
          <w:rPr>
            <w:rStyle w:val="Hyperlink"/>
            <w:rFonts w:ascii="Century" w:hAnsi="Century"/>
            <w:sz w:val="24"/>
            <w:szCs w:val="24"/>
          </w:rPr>
          <w:t>http://www.who.int/wer/2009/wer8415.pdf?ua=1</w:t>
        </w:r>
      </w:hyperlink>
      <w:r w:rsidRPr="00053D29">
        <w:rPr>
          <w:rFonts w:ascii="Century" w:hAnsi="Century"/>
          <w:sz w:val="24"/>
          <w:szCs w:val="24"/>
        </w:rPr>
        <w:t>; accessed 21 March 2014). While the vaccine remains relatively expensive</w:t>
      </w:r>
      <w:r w:rsidR="00F32844" w:rsidRPr="00053D29">
        <w:rPr>
          <w:rFonts w:ascii="Century" w:hAnsi="Century"/>
          <w:sz w:val="24"/>
          <w:szCs w:val="24"/>
        </w:rPr>
        <w:t>,</w:t>
      </w:r>
      <w:r w:rsidRPr="00053D29">
        <w:rPr>
          <w:rFonts w:ascii="Century" w:hAnsi="Century"/>
          <w:sz w:val="24"/>
          <w:szCs w:val="24"/>
        </w:rPr>
        <w:t xml:space="preserve"> the GAVI Alliance is supporting HPV introduction in low income countries (</w:t>
      </w:r>
      <w:hyperlink r:id="rId10" w:history="1">
        <w:r w:rsidRPr="00053D29">
          <w:rPr>
            <w:rStyle w:val="Hyperlink"/>
            <w:rFonts w:ascii="Century" w:hAnsi="Century"/>
            <w:sz w:val="24"/>
            <w:szCs w:val="24"/>
          </w:rPr>
          <w:t>http://www.gavialliance.org/support/nvs/human-papillomavirus-vaccine-support/</w:t>
        </w:r>
      </w:hyperlink>
      <w:r w:rsidRPr="00053D29">
        <w:rPr>
          <w:rFonts w:ascii="Century" w:hAnsi="Century"/>
          <w:sz w:val="24"/>
          <w:szCs w:val="24"/>
        </w:rPr>
        <w:t>; accessed 21 March 2014).</w:t>
      </w:r>
      <w:r w:rsidR="001105A1" w:rsidRPr="00053D29">
        <w:rPr>
          <w:rFonts w:ascii="Century" w:hAnsi="Century"/>
          <w:sz w:val="24"/>
          <w:szCs w:val="24"/>
        </w:rPr>
        <w:t xml:space="preserve"> Information on the date and age of HPV administration among women fifteen years of age </w:t>
      </w:r>
      <w:r w:rsidR="00F32844" w:rsidRPr="00053D29">
        <w:rPr>
          <w:rFonts w:ascii="Century" w:hAnsi="Century"/>
          <w:sz w:val="24"/>
          <w:szCs w:val="24"/>
        </w:rPr>
        <w:t xml:space="preserve">at the time of survey </w:t>
      </w:r>
      <w:r w:rsidR="001105A1" w:rsidRPr="00053D29">
        <w:rPr>
          <w:rFonts w:ascii="Century" w:hAnsi="Century"/>
          <w:sz w:val="24"/>
          <w:szCs w:val="24"/>
        </w:rPr>
        <w:t xml:space="preserve">would </w:t>
      </w:r>
      <w:r w:rsidR="001105A1" w:rsidRPr="00053D29">
        <w:rPr>
          <w:rFonts w:ascii="Century" w:hAnsi="Century"/>
          <w:sz w:val="24"/>
          <w:szCs w:val="24"/>
        </w:rPr>
        <w:lastRenderedPageBreak/>
        <w:t>provide invaluable information on the coverage of HPV vaccination.</w:t>
      </w:r>
      <w:r w:rsidR="00615961" w:rsidRPr="00053D29">
        <w:rPr>
          <w:rFonts w:ascii="Century" w:hAnsi="Century"/>
          <w:sz w:val="24"/>
          <w:szCs w:val="24"/>
        </w:rPr>
        <w:t xml:space="preserve"> </w:t>
      </w:r>
      <w:r w:rsidR="00F32844" w:rsidRPr="00053D29">
        <w:rPr>
          <w:rFonts w:ascii="Century" w:hAnsi="Century"/>
          <w:sz w:val="24"/>
          <w:szCs w:val="24"/>
        </w:rPr>
        <w:t xml:space="preserve"> In some instances this may require consideration of oversampling this age group in order to obtain a robust </w:t>
      </w:r>
      <w:r w:rsidR="00C2004F" w:rsidRPr="00053D29">
        <w:rPr>
          <w:rFonts w:ascii="Century" w:hAnsi="Century"/>
          <w:sz w:val="24"/>
          <w:szCs w:val="24"/>
        </w:rPr>
        <w:t>coverage estimate.</w:t>
      </w:r>
    </w:p>
    <w:p w:rsidR="00F32844" w:rsidRPr="00053D29" w:rsidRDefault="00F32844" w:rsidP="00053D29">
      <w:pPr>
        <w:rPr>
          <w:rFonts w:ascii="Century" w:hAnsi="Century"/>
          <w:sz w:val="24"/>
          <w:szCs w:val="24"/>
        </w:rPr>
      </w:pPr>
    </w:p>
    <w:p w:rsidR="009632C0" w:rsidRPr="00053D29" w:rsidRDefault="00C2004F" w:rsidP="00615961">
      <w:pPr>
        <w:pStyle w:val="ListParagraph"/>
        <w:numPr>
          <w:ilvl w:val="0"/>
          <w:numId w:val="2"/>
        </w:numPr>
        <w:rPr>
          <w:rFonts w:ascii="Century" w:hAnsi="Century"/>
          <w:sz w:val="24"/>
          <w:szCs w:val="24"/>
        </w:rPr>
      </w:pPr>
      <w:r w:rsidRPr="00053D29">
        <w:rPr>
          <w:rFonts w:ascii="Century" w:hAnsi="Century"/>
          <w:b/>
          <w:sz w:val="24"/>
          <w:szCs w:val="24"/>
        </w:rPr>
        <w:t>Presentation of home-based vaccination record receipt:</w:t>
      </w:r>
      <w:r w:rsidRPr="00053D29">
        <w:rPr>
          <w:rFonts w:ascii="Century" w:hAnsi="Century"/>
          <w:sz w:val="24"/>
          <w:szCs w:val="24"/>
        </w:rPr>
        <w:t xml:space="preserve"> </w:t>
      </w:r>
      <w:r w:rsidR="00615961" w:rsidRPr="00053D29">
        <w:rPr>
          <w:rFonts w:ascii="Century" w:hAnsi="Century"/>
          <w:sz w:val="24"/>
          <w:szCs w:val="24"/>
        </w:rPr>
        <w:t xml:space="preserve">Currently information on whether a child </w:t>
      </w:r>
      <w:r w:rsidR="00615961" w:rsidRPr="00053D29">
        <w:rPr>
          <w:rFonts w:ascii="Century" w:hAnsi="Century"/>
          <w:sz w:val="24"/>
          <w:szCs w:val="24"/>
          <w:u w:val="single"/>
        </w:rPr>
        <w:t>ever</w:t>
      </w:r>
      <w:r w:rsidR="00615961" w:rsidRPr="00053D29">
        <w:rPr>
          <w:rFonts w:ascii="Century" w:hAnsi="Century"/>
          <w:sz w:val="24"/>
          <w:szCs w:val="24"/>
        </w:rPr>
        <w:t xml:space="preserve"> had a vaccination card is asked</w:t>
      </w:r>
      <w:r w:rsidRPr="00053D29">
        <w:rPr>
          <w:rFonts w:ascii="Century" w:hAnsi="Century"/>
          <w:sz w:val="24"/>
          <w:szCs w:val="24"/>
        </w:rPr>
        <w:t xml:space="preserve"> as part of the questionnaire,</w:t>
      </w:r>
      <w:r w:rsidR="00615961" w:rsidRPr="00053D29">
        <w:rPr>
          <w:rFonts w:ascii="Century" w:hAnsi="Century"/>
          <w:sz w:val="24"/>
          <w:szCs w:val="24"/>
        </w:rPr>
        <w:t xml:space="preserve"> but this information is not presented in standard published summaries. As the number and cost of the vaccinations recommended increases</w:t>
      </w:r>
      <w:r w:rsidRPr="00053D29">
        <w:rPr>
          <w:rFonts w:ascii="Century" w:hAnsi="Century"/>
          <w:sz w:val="24"/>
          <w:szCs w:val="24"/>
        </w:rPr>
        <w:t>,</w:t>
      </w:r>
      <w:r w:rsidR="00615961" w:rsidRPr="00053D29">
        <w:rPr>
          <w:rFonts w:ascii="Century" w:hAnsi="Century"/>
          <w:sz w:val="24"/>
          <w:szCs w:val="24"/>
        </w:rPr>
        <w:t xml:space="preserve"> it is becoming increasingly important that good recording and reporting practices are followed to ensure children are fully but not over vaccinated. Information on whether a child ever had a vaccination card would be useful information in addition to the currently presented data on whether a card was seen or not.</w:t>
      </w:r>
    </w:p>
    <w:p w:rsidR="00C2004F" w:rsidRPr="00053D29" w:rsidRDefault="00C2004F" w:rsidP="00053D29">
      <w:pPr>
        <w:pStyle w:val="ListParagraph"/>
        <w:rPr>
          <w:rFonts w:ascii="Century" w:hAnsi="Century"/>
          <w:sz w:val="24"/>
          <w:szCs w:val="24"/>
        </w:rPr>
      </w:pPr>
    </w:p>
    <w:p w:rsidR="001105A1" w:rsidRPr="00053D29" w:rsidRDefault="001105A1" w:rsidP="001105A1">
      <w:pPr>
        <w:pStyle w:val="ListParagraph"/>
        <w:numPr>
          <w:ilvl w:val="0"/>
          <w:numId w:val="2"/>
        </w:numPr>
        <w:rPr>
          <w:rFonts w:ascii="Century" w:hAnsi="Century"/>
          <w:sz w:val="24"/>
          <w:szCs w:val="24"/>
        </w:rPr>
      </w:pPr>
      <w:r w:rsidRPr="00053D29">
        <w:rPr>
          <w:rFonts w:ascii="Century" w:hAnsi="Century"/>
          <w:b/>
          <w:sz w:val="24"/>
          <w:szCs w:val="24"/>
        </w:rPr>
        <w:t>New vaccines, schedules, combinations, delivery strategies:</w:t>
      </w:r>
      <w:r w:rsidRPr="00053D29">
        <w:rPr>
          <w:rFonts w:ascii="Century" w:hAnsi="Century"/>
          <w:sz w:val="24"/>
          <w:szCs w:val="24"/>
        </w:rPr>
        <w:t xml:space="preserve"> In addition to the above </w:t>
      </w:r>
      <w:r w:rsidR="006829CF" w:rsidRPr="00053D29">
        <w:rPr>
          <w:rFonts w:ascii="Century" w:hAnsi="Century"/>
          <w:sz w:val="24"/>
          <w:szCs w:val="24"/>
        </w:rPr>
        <w:t>suggestions</w:t>
      </w:r>
      <w:r w:rsidR="00C2004F" w:rsidRPr="00053D29">
        <w:rPr>
          <w:rFonts w:ascii="Century" w:hAnsi="Century"/>
          <w:sz w:val="24"/>
          <w:szCs w:val="24"/>
        </w:rPr>
        <w:t>,</w:t>
      </w:r>
      <w:r w:rsidR="006829CF" w:rsidRPr="00053D29">
        <w:rPr>
          <w:rFonts w:ascii="Century" w:hAnsi="Century"/>
          <w:sz w:val="24"/>
          <w:szCs w:val="24"/>
        </w:rPr>
        <w:t xml:space="preserve"> we would like to bring to your attention several additional features that are occurring more frequently that may warrant your attention.</w:t>
      </w:r>
    </w:p>
    <w:p w:rsidR="00856BEE" w:rsidRPr="00053D29" w:rsidRDefault="001105A1" w:rsidP="00856BEE">
      <w:pPr>
        <w:pStyle w:val="ListParagraph"/>
        <w:numPr>
          <w:ilvl w:val="1"/>
          <w:numId w:val="2"/>
        </w:numPr>
        <w:rPr>
          <w:rFonts w:ascii="Century" w:hAnsi="Century"/>
          <w:sz w:val="24"/>
          <w:szCs w:val="24"/>
        </w:rPr>
      </w:pPr>
      <w:r w:rsidRPr="00053D29">
        <w:rPr>
          <w:rFonts w:ascii="Century" w:hAnsi="Century"/>
          <w:sz w:val="24"/>
          <w:szCs w:val="24"/>
        </w:rPr>
        <w:t xml:space="preserve">A second dose of measles containing vaccine is recommended in all countries and a combination measles-mumps-rubella (MMR) vaccine is the recommended presentation.  </w:t>
      </w:r>
      <w:r w:rsidR="00856BEE" w:rsidRPr="00053D29">
        <w:rPr>
          <w:rFonts w:ascii="Century" w:hAnsi="Century"/>
          <w:sz w:val="24"/>
          <w:szCs w:val="24"/>
        </w:rPr>
        <w:t>In some instances appropriate vaccination may be considered a single dose of measles vaccine at nine months of age may be appropriate in some cohort while a dose of MMR at 12 and 18 months of age may be appropriate in younger cohorts.</w:t>
      </w:r>
    </w:p>
    <w:p w:rsidR="00856BEE" w:rsidRPr="00053D29" w:rsidRDefault="00856BEE" w:rsidP="001105A1">
      <w:pPr>
        <w:pStyle w:val="ListParagraph"/>
        <w:numPr>
          <w:ilvl w:val="1"/>
          <w:numId w:val="2"/>
        </w:numPr>
        <w:rPr>
          <w:rFonts w:ascii="Century" w:hAnsi="Century"/>
          <w:sz w:val="24"/>
          <w:szCs w:val="24"/>
        </w:rPr>
      </w:pPr>
      <w:proofErr w:type="spellStart"/>
      <w:r w:rsidRPr="00053D29">
        <w:rPr>
          <w:rFonts w:ascii="Century" w:hAnsi="Century"/>
          <w:sz w:val="24"/>
          <w:szCs w:val="24"/>
        </w:rPr>
        <w:t>Pneuomococcal</w:t>
      </w:r>
      <w:proofErr w:type="spellEnd"/>
      <w:r w:rsidRPr="00053D29">
        <w:rPr>
          <w:rFonts w:ascii="Century" w:hAnsi="Century"/>
          <w:sz w:val="24"/>
          <w:szCs w:val="24"/>
        </w:rPr>
        <w:t xml:space="preserve"> vaccine is </w:t>
      </w:r>
      <w:r w:rsidR="006829CF" w:rsidRPr="00053D29">
        <w:rPr>
          <w:rFonts w:ascii="Century" w:hAnsi="Century"/>
          <w:sz w:val="24"/>
          <w:szCs w:val="24"/>
        </w:rPr>
        <w:t xml:space="preserve">being </w:t>
      </w:r>
      <w:r w:rsidRPr="00053D29">
        <w:rPr>
          <w:rFonts w:ascii="Century" w:hAnsi="Century"/>
          <w:sz w:val="24"/>
          <w:szCs w:val="24"/>
        </w:rPr>
        <w:t xml:space="preserve">increasing </w:t>
      </w:r>
      <w:r w:rsidR="006829CF" w:rsidRPr="00053D29">
        <w:rPr>
          <w:rFonts w:ascii="Century" w:hAnsi="Century"/>
          <w:sz w:val="24"/>
          <w:szCs w:val="24"/>
        </w:rPr>
        <w:t>recommended</w:t>
      </w:r>
      <w:r w:rsidRPr="00053D29">
        <w:rPr>
          <w:rFonts w:ascii="Century" w:hAnsi="Century"/>
          <w:sz w:val="24"/>
          <w:szCs w:val="24"/>
        </w:rPr>
        <w:t xml:space="preserve"> and is a three dose injectable vaccine with administration recommended at six, ten and fourteen weeks of age. In many cases this vaccine will be administered during the same visit with a DTP-containing vaccine and determination of which vaccination was given during a visit may be difficult in the absence of documented evidence.</w:t>
      </w:r>
    </w:p>
    <w:p w:rsidR="006A6874" w:rsidRPr="00053D29" w:rsidRDefault="00856BEE" w:rsidP="001105A1">
      <w:pPr>
        <w:pStyle w:val="ListParagraph"/>
        <w:numPr>
          <w:ilvl w:val="1"/>
          <w:numId w:val="2"/>
        </w:numPr>
        <w:rPr>
          <w:rFonts w:ascii="Century" w:hAnsi="Century"/>
          <w:sz w:val="24"/>
          <w:szCs w:val="24"/>
        </w:rPr>
      </w:pPr>
      <w:r w:rsidRPr="00053D29">
        <w:rPr>
          <w:rFonts w:ascii="Century" w:hAnsi="Century"/>
          <w:sz w:val="24"/>
          <w:szCs w:val="24"/>
        </w:rPr>
        <w:t>Rotavirus vaccine is a live oral vaccine available in a two dose schedule (</w:t>
      </w:r>
      <w:proofErr w:type="spellStart"/>
      <w:r w:rsidRPr="00053D29">
        <w:rPr>
          <w:rFonts w:ascii="Century" w:hAnsi="Century"/>
          <w:sz w:val="24"/>
          <w:szCs w:val="24"/>
        </w:rPr>
        <w:t>Rotarix</w:t>
      </w:r>
      <w:proofErr w:type="spellEnd"/>
      <w:r w:rsidRPr="00053D29">
        <w:rPr>
          <w:rFonts w:ascii="Century" w:hAnsi="Century"/>
          <w:sz w:val="24"/>
          <w:szCs w:val="24"/>
        </w:rPr>
        <w:t xml:space="preserve"> from GlaxoSmithKline Biologicals) recommended at six and ten weeks of age and a three dose schedule (Rota </w:t>
      </w:r>
      <w:proofErr w:type="spellStart"/>
      <w:r w:rsidRPr="00053D29">
        <w:rPr>
          <w:rFonts w:ascii="Century" w:hAnsi="Century"/>
          <w:sz w:val="24"/>
          <w:szCs w:val="24"/>
        </w:rPr>
        <w:t>Teq</w:t>
      </w:r>
      <w:proofErr w:type="spellEnd"/>
      <w:r w:rsidRPr="00053D29">
        <w:rPr>
          <w:rFonts w:ascii="Century" w:hAnsi="Century"/>
          <w:sz w:val="24"/>
          <w:szCs w:val="24"/>
        </w:rPr>
        <w:t xml:space="preserve"> from Merck and Company) recommended at six, ten and fourteen weeks of age. Either vaccine m</w:t>
      </w:r>
      <w:bookmarkStart w:id="0" w:name="_GoBack"/>
      <w:bookmarkEnd w:id="0"/>
      <w:r w:rsidRPr="00053D29">
        <w:rPr>
          <w:rFonts w:ascii="Century" w:hAnsi="Century"/>
          <w:sz w:val="24"/>
          <w:szCs w:val="24"/>
        </w:rPr>
        <w:t xml:space="preserve">ay be given during the appropriate </w:t>
      </w:r>
      <w:r w:rsidR="006A6874" w:rsidRPr="00053D29">
        <w:rPr>
          <w:rFonts w:ascii="Century" w:hAnsi="Century"/>
          <w:sz w:val="24"/>
          <w:szCs w:val="24"/>
        </w:rPr>
        <w:t>DTP-containing vaccine visit.</w:t>
      </w:r>
    </w:p>
    <w:p w:rsidR="001105A1" w:rsidRPr="00053D29" w:rsidRDefault="006A6874" w:rsidP="001105A1">
      <w:pPr>
        <w:pStyle w:val="ListParagraph"/>
        <w:numPr>
          <w:ilvl w:val="1"/>
          <w:numId w:val="2"/>
        </w:numPr>
        <w:rPr>
          <w:rFonts w:ascii="Century" w:hAnsi="Century"/>
          <w:sz w:val="24"/>
          <w:szCs w:val="24"/>
        </w:rPr>
      </w:pPr>
      <w:r w:rsidRPr="00053D29">
        <w:rPr>
          <w:rFonts w:ascii="Century" w:hAnsi="Century"/>
          <w:sz w:val="24"/>
          <w:szCs w:val="24"/>
        </w:rPr>
        <w:t xml:space="preserve">Routine and supplemental delivery strategies:  While routine vaccinations delivered at fixed sites, in outreach activities or by mobile teams remains the principle delivery strategy, supplemental activities to increase coverage or to provide additional population protection are becoming more frequent. In some instances separate cards are issued </w:t>
      </w:r>
      <w:r w:rsidRPr="00053D29">
        <w:rPr>
          <w:rFonts w:ascii="Century" w:hAnsi="Century"/>
          <w:sz w:val="24"/>
          <w:szCs w:val="24"/>
        </w:rPr>
        <w:lastRenderedPageBreak/>
        <w:t>to children reached during supplemental activities. To the degree possible it would be useful to attempt to capture and report on coverage achieved through different strategies.</w:t>
      </w:r>
    </w:p>
    <w:p w:rsidR="00741C53" w:rsidRPr="00053D29" w:rsidRDefault="009632C0" w:rsidP="006829CF">
      <w:pPr>
        <w:pStyle w:val="ListParagraph"/>
        <w:numPr>
          <w:ilvl w:val="1"/>
          <w:numId w:val="2"/>
        </w:numPr>
        <w:rPr>
          <w:rFonts w:ascii="Century" w:hAnsi="Century"/>
          <w:sz w:val="24"/>
          <w:szCs w:val="24"/>
        </w:rPr>
      </w:pPr>
      <w:r w:rsidRPr="00053D29">
        <w:rPr>
          <w:rFonts w:ascii="Century" w:hAnsi="Century"/>
          <w:sz w:val="24"/>
          <w:szCs w:val="24"/>
        </w:rPr>
        <w:t xml:space="preserve">Multiple vaccination schedules in the study cohorts. </w:t>
      </w:r>
      <w:r w:rsidR="006829CF" w:rsidRPr="00053D29">
        <w:rPr>
          <w:rFonts w:ascii="Century" w:hAnsi="Century"/>
          <w:sz w:val="24"/>
          <w:szCs w:val="24"/>
        </w:rPr>
        <w:t>As alluded to above</w:t>
      </w:r>
      <w:r w:rsidR="00C2004F" w:rsidRPr="00053D29">
        <w:rPr>
          <w:rFonts w:ascii="Century" w:hAnsi="Century"/>
          <w:sz w:val="24"/>
          <w:szCs w:val="24"/>
        </w:rPr>
        <w:t>,</w:t>
      </w:r>
      <w:r w:rsidR="006829CF" w:rsidRPr="00053D29">
        <w:rPr>
          <w:rFonts w:ascii="Century" w:hAnsi="Century"/>
          <w:sz w:val="24"/>
          <w:szCs w:val="24"/>
        </w:rPr>
        <w:t xml:space="preserve"> a</w:t>
      </w:r>
      <w:r w:rsidRPr="00053D29">
        <w:rPr>
          <w:rFonts w:ascii="Century" w:hAnsi="Century"/>
          <w:sz w:val="24"/>
          <w:szCs w:val="24"/>
        </w:rPr>
        <w:t xml:space="preserve"> significant challenge to the accurate recording, analysis and reporting of immunization data is related to changing national immunization recommendations, the introduction of new vaccines in the schedule and the use of new combination vaccines creating mixed immunization schedules within the study cohort. </w:t>
      </w:r>
      <w:r w:rsidR="006829CF" w:rsidRPr="00053D29">
        <w:rPr>
          <w:rFonts w:ascii="Century" w:hAnsi="Century"/>
          <w:sz w:val="24"/>
          <w:szCs w:val="24"/>
        </w:rPr>
        <w:t xml:space="preserve">Such mixed schedules will require improved training of interviewers to correctly interpret and record vaccination records and to elicit an accurate report of a child’s vaccination history. Additional vaccinations will require more creative and pointed probes to capture which vaccinations have been received. We are encouraging national immunization </w:t>
      </w:r>
      <w:proofErr w:type="spellStart"/>
      <w:r w:rsidR="006829CF" w:rsidRPr="00053D29">
        <w:rPr>
          <w:rFonts w:ascii="Century" w:hAnsi="Century"/>
          <w:sz w:val="24"/>
          <w:szCs w:val="24"/>
        </w:rPr>
        <w:t>programme</w:t>
      </w:r>
      <w:proofErr w:type="spellEnd"/>
      <w:r w:rsidR="006829CF" w:rsidRPr="00053D29">
        <w:rPr>
          <w:rFonts w:ascii="Century" w:hAnsi="Century"/>
          <w:sz w:val="24"/>
          <w:szCs w:val="24"/>
        </w:rPr>
        <w:t xml:space="preserve"> managers to prepare appropriate material for training survey teams and will gladly provide whatever information we have to improve the survey’s ability to accurately capture the appropriate information.</w:t>
      </w:r>
    </w:p>
    <w:p w:rsidR="00615961" w:rsidRPr="00053D29" w:rsidRDefault="00615961" w:rsidP="00615961">
      <w:pPr>
        <w:ind w:left="360"/>
        <w:rPr>
          <w:rFonts w:ascii="Century" w:hAnsi="Century"/>
          <w:sz w:val="24"/>
          <w:szCs w:val="24"/>
        </w:rPr>
      </w:pPr>
      <w:r w:rsidRPr="00053D29">
        <w:rPr>
          <w:rFonts w:ascii="Century" w:hAnsi="Century"/>
          <w:sz w:val="24"/>
          <w:szCs w:val="24"/>
        </w:rPr>
        <w:t>In conclusion, we would like to reiterate our appreciation for your efforts and for the opportunity to suggest modifications that we feel would ensure the continued usefulness of your activities to national Ministries of Health and their local, national and international partners.</w:t>
      </w:r>
    </w:p>
    <w:p w:rsidR="00C2004F" w:rsidRPr="00053D29" w:rsidRDefault="00C2004F" w:rsidP="00615961">
      <w:pPr>
        <w:ind w:left="360"/>
        <w:rPr>
          <w:rFonts w:ascii="Century" w:hAnsi="Century"/>
          <w:sz w:val="24"/>
          <w:szCs w:val="24"/>
        </w:rPr>
      </w:pPr>
    </w:p>
    <w:p w:rsidR="00C2004F" w:rsidRPr="00053D29" w:rsidRDefault="00002B11" w:rsidP="00053D29">
      <w:pPr>
        <w:ind w:left="2880" w:firstLine="720"/>
        <w:rPr>
          <w:rFonts w:ascii="Century" w:hAnsi="Century"/>
          <w:sz w:val="24"/>
          <w:szCs w:val="24"/>
        </w:rPr>
      </w:pPr>
      <w:r>
        <w:rPr>
          <w:rFonts w:ascii="Century" w:hAnsi="Century"/>
          <w:sz w:val="24"/>
          <w:szCs w:val="24"/>
        </w:rPr>
        <w:t xml:space="preserve">  </w:t>
      </w:r>
      <w:r w:rsidR="00C2004F" w:rsidRPr="00053D29">
        <w:rPr>
          <w:rFonts w:ascii="Century" w:hAnsi="Century"/>
          <w:sz w:val="24"/>
          <w:szCs w:val="24"/>
        </w:rPr>
        <w:t>Sincerely yours,</w:t>
      </w:r>
    </w:p>
    <w:p w:rsidR="00C2004F" w:rsidRPr="00053D29" w:rsidRDefault="00C2004F" w:rsidP="00053D29">
      <w:pPr>
        <w:rPr>
          <w:rFonts w:ascii="Century" w:hAnsi="Century"/>
          <w:sz w:val="24"/>
          <w:szCs w:val="24"/>
        </w:rPr>
      </w:pPr>
    </w:p>
    <w:p w:rsidR="00002B11" w:rsidRDefault="00C2004F" w:rsidP="00053D29">
      <w:pPr>
        <w:spacing w:after="0"/>
        <w:rPr>
          <w:rFonts w:ascii="Century" w:hAnsi="Century"/>
          <w:sz w:val="24"/>
          <w:szCs w:val="24"/>
        </w:rPr>
      </w:pPr>
      <w:r w:rsidRPr="00053D29">
        <w:rPr>
          <w:rFonts w:ascii="Century" w:hAnsi="Century"/>
          <w:sz w:val="24"/>
          <w:szCs w:val="24"/>
        </w:rPr>
        <w:tab/>
      </w:r>
      <w:r w:rsidRPr="00053D29">
        <w:rPr>
          <w:rFonts w:ascii="Century" w:hAnsi="Century"/>
          <w:sz w:val="24"/>
          <w:szCs w:val="24"/>
        </w:rPr>
        <w:tab/>
      </w:r>
      <w:r w:rsidRPr="00053D29">
        <w:rPr>
          <w:rFonts w:ascii="Century" w:hAnsi="Century"/>
          <w:sz w:val="24"/>
          <w:szCs w:val="24"/>
        </w:rPr>
        <w:tab/>
      </w:r>
      <w:r w:rsidRPr="00053D29">
        <w:rPr>
          <w:rFonts w:ascii="Century" w:hAnsi="Century"/>
          <w:sz w:val="24"/>
          <w:szCs w:val="24"/>
        </w:rPr>
        <w:tab/>
      </w:r>
      <w:r w:rsidRPr="00053D29">
        <w:rPr>
          <w:rFonts w:ascii="Century" w:hAnsi="Century"/>
          <w:sz w:val="24"/>
          <w:szCs w:val="24"/>
        </w:rPr>
        <w:tab/>
        <w:t xml:space="preserve">  WHO and UNICEF Working Group for </w:t>
      </w:r>
    </w:p>
    <w:p w:rsidR="00C2004F" w:rsidRPr="00053D29" w:rsidRDefault="00002B11" w:rsidP="00053D29">
      <w:pPr>
        <w:spacing w:after="0"/>
        <w:ind w:left="2880" w:firstLine="720"/>
        <w:rPr>
          <w:rFonts w:ascii="Century" w:hAnsi="Century"/>
          <w:sz w:val="24"/>
          <w:szCs w:val="24"/>
        </w:rPr>
      </w:pPr>
      <w:r>
        <w:rPr>
          <w:rFonts w:ascii="Century" w:hAnsi="Century"/>
          <w:sz w:val="24"/>
          <w:szCs w:val="24"/>
        </w:rPr>
        <w:t xml:space="preserve">  </w:t>
      </w:r>
      <w:r w:rsidR="00C2004F" w:rsidRPr="00053D29">
        <w:rPr>
          <w:rFonts w:ascii="Century" w:hAnsi="Century"/>
          <w:sz w:val="24"/>
          <w:szCs w:val="24"/>
        </w:rPr>
        <w:t>Monitoring Immunization Coverage</w:t>
      </w:r>
    </w:p>
    <w:p w:rsidR="00C2004F" w:rsidRDefault="00C2004F" w:rsidP="00053D29">
      <w:pPr>
        <w:spacing w:after="0"/>
        <w:rPr>
          <w:rFonts w:ascii="Century" w:hAnsi="Century"/>
          <w:sz w:val="24"/>
          <w:szCs w:val="24"/>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493"/>
      </w:tblGrid>
      <w:tr w:rsidR="00002B11" w:rsidTr="00053D29">
        <w:tc>
          <w:tcPr>
            <w:tcW w:w="4675" w:type="dxa"/>
          </w:tcPr>
          <w:p w:rsidR="00002B11" w:rsidRPr="00053D29" w:rsidRDefault="00002B11" w:rsidP="00615961">
            <w:pPr>
              <w:rPr>
                <w:rFonts w:ascii="Century" w:hAnsi="Century"/>
                <w:sz w:val="20"/>
                <w:szCs w:val="20"/>
              </w:rPr>
            </w:pPr>
            <w:r w:rsidRPr="00053D29">
              <w:rPr>
                <w:rFonts w:ascii="Century" w:hAnsi="Century"/>
                <w:sz w:val="20"/>
                <w:szCs w:val="20"/>
              </w:rPr>
              <w:t xml:space="preserve">Anthony H. Burton and Marta </w:t>
            </w:r>
            <w:proofErr w:type="spellStart"/>
            <w:r w:rsidRPr="00053D29">
              <w:rPr>
                <w:rFonts w:ascii="Century" w:hAnsi="Century"/>
                <w:sz w:val="20"/>
                <w:szCs w:val="20"/>
              </w:rPr>
              <w:t>Gacic-Dobo</w:t>
            </w:r>
            <w:proofErr w:type="spellEnd"/>
          </w:p>
          <w:p w:rsidR="00002B11" w:rsidRPr="00053D29" w:rsidRDefault="00002B11" w:rsidP="00615961">
            <w:pPr>
              <w:rPr>
                <w:rFonts w:ascii="Century" w:hAnsi="Century"/>
                <w:sz w:val="20"/>
                <w:szCs w:val="20"/>
              </w:rPr>
            </w:pPr>
            <w:r w:rsidRPr="00053D29">
              <w:rPr>
                <w:rFonts w:ascii="Century" w:hAnsi="Century"/>
                <w:sz w:val="20"/>
                <w:szCs w:val="20"/>
              </w:rPr>
              <w:t>World Health Organization</w:t>
            </w:r>
          </w:p>
          <w:p w:rsidR="00002B11" w:rsidRPr="00053D29" w:rsidRDefault="00002B11" w:rsidP="00615961">
            <w:pPr>
              <w:rPr>
                <w:rFonts w:ascii="Century" w:hAnsi="Century"/>
                <w:sz w:val="20"/>
                <w:szCs w:val="20"/>
              </w:rPr>
            </w:pPr>
            <w:r w:rsidRPr="00053D29">
              <w:rPr>
                <w:rFonts w:ascii="Century" w:hAnsi="Century"/>
                <w:sz w:val="20"/>
                <w:szCs w:val="20"/>
              </w:rPr>
              <w:t>Geneva</w:t>
            </w:r>
          </w:p>
          <w:p w:rsidR="00002B11" w:rsidRPr="00053D29" w:rsidRDefault="00002B11" w:rsidP="00615961">
            <w:pPr>
              <w:rPr>
                <w:rFonts w:ascii="Century" w:hAnsi="Century"/>
                <w:sz w:val="20"/>
                <w:szCs w:val="20"/>
              </w:rPr>
            </w:pPr>
            <w:r w:rsidRPr="00053D29">
              <w:rPr>
                <w:rFonts w:ascii="Century" w:hAnsi="Century"/>
                <w:sz w:val="20"/>
                <w:szCs w:val="20"/>
              </w:rPr>
              <w:t>Switzerland</w:t>
            </w:r>
          </w:p>
        </w:tc>
        <w:tc>
          <w:tcPr>
            <w:tcW w:w="4675" w:type="dxa"/>
          </w:tcPr>
          <w:p w:rsidR="00002B11" w:rsidRPr="00053D29" w:rsidRDefault="00002B11" w:rsidP="00615961">
            <w:pPr>
              <w:rPr>
                <w:rFonts w:ascii="Century" w:hAnsi="Century"/>
                <w:sz w:val="20"/>
                <w:szCs w:val="20"/>
              </w:rPr>
            </w:pPr>
            <w:r w:rsidRPr="00053D29">
              <w:rPr>
                <w:rFonts w:ascii="Century" w:hAnsi="Century"/>
                <w:sz w:val="20"/>
                <w:szCs w:val="20"/>
              </w:rPr>
              <w:t>David W. Brown and Rouslan Karimov</w:t>
            </w:r>
          </w:p>
          <w:p w:rsidR="00002B11" w:rsidRPr="00053D29" w:rsidRDefault="00002B11" w:rsidP="00615961">
            <w:pPr>
              <w:rPr>
                <w:rFonts w:ascii="Century" w:hAnsi="Century"/>
                <w:sz w:val="20"/>
                <w:szCs w:val="20"/>
              </w:rPr>
            </w:pPr>
            <w:r w:rsidRPr="00053D29">
              <w:rPr>
                <w:rFonts w:ascii="Century" w:hAnsi="Century"/>
                <w:sz w:val="20"/>
                <w:szCs w:val="20"/>
              </w:rPr>
              <w:t>United Nations Children’s Fund</w:t>
            </w:r>
          </w:p>
          <w:p w:rsidR="00002B11" w:rsidRPr="00053D29" w:rsidRDefault="00002B11" w:rsidP="00615961">
            <w:pPr>
              <w:rPr>
                <w:rFonts w:ascii="Century" w:hAnsi="Century"/>
                <w:sz w:val="20"/>
                <w:szCs w:val="20"/>
              </w:rPr>
            </w:pPr>
            <w:r w:rsidRPr="00053D29">
              <w:rPr>
                <w:rFonts w:ascii="Century" w:hAnsi="Century"/>
                <w:sz w:val="20"/>
                <w:szCs w:val="20"/>
              </w:rPr>
              <w:t>New York, New York</w:t>
            </w:r>
          </w:p>
          <w:p w:rsidR="00002B11" w:rsidRPr="00053D29" w:rsidRDefault="00002B11" w:rsidP="00615961">
            <w:pPr>
              <w:rPr>
                <w:rFonts w:ascii="Century" w:hAnsi="Century"/>
                <w:sz w:val="20"/>
                <w:szCs w:val="20"/>
              </w:rPr>
            </w:pPr>
            <w:r w:rsidRPr="00053D29">
              <w:rPr>
                <w:rFonts w:ascii="Century" w:hAnsi="Century"/>
                <w:sz w:val="20"/>
                <w:szCs w:val="20"/>
              </w:rPr>
              <w:t>USA</w:t>
            </w:r>
          </w:p>
        </w:tc>
      </w:tr>
    </w:tbl>
    <w:p w:rsidR="00C2004F" w:rsidRPr="00053D29" w:rsidRDefault="00C2004F" w:rsidP="00615961">
      <w:pPr>
        <w:ind w:left="360"/>
        <w:rPr>
          <w:rFonts w:ascii="Century" w:hAnsi="Century"/>
          <w:sz w:val="24"/>
          <w:szCs w:val="24"/>
        </w:rPr>
      </w:pPr>
    </w:p>
    <w:sectPr w:rsidR="00C2004F" w:rsidRPr="00053D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966E56"/>
    <w:multiLevelType w:val="hybridMultilevel"/>
    <w:tmpl w:val="07F6E4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F160C2"/>
    <w:multiLevelType w:val="hybridMultilevel"/>
    <w:tmpl w:val="61C06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5B34A8"/>
    <w:multiLevelType w:val="hybridMultilevel"/>
    <w:tmpl w:val="AAF29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152427"/>
    <w:multiLevelType w:val="hybridMultilevel"/>
    <w:tmpl w:val="3CA6F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3B64CF"/>
    <w:multiLevelType w:val="hybridMultilevel"/>
    <w:tmpl w:val="4B4C1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B951B4"/>
    <w:multiLevelType w:val="hybridMultilevel"/>
    <w:tmpl w:val="715EBF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C53"/>
    <w:rsid w:val="00002B11"/>
    <w:rsid w:val="000355F3"/>
    <w:rsid w:val="00053D29"/>
    <w:rsid w:val="001105A1"/>
    <w:rsid w:val="00205042"/>
    <w:rsid w:val="00307D1C"/>
    <w:rsid w:val="004B76DF"/>
    <w:rsid w:val="00615961"/>
    <w:rsid w:val="006829CF"/>
    <w:rsid w:val="006A6874"/>
    <w:rsid w:val="006C6D7D"/>
    <w:rsid w:val="00727F7F"/>
    <w:rsid w:val="00741C53"/>
    <w:rsid w:val="007E5562"/>
    <w:rsid w:val="00856BEE"/>
    <w:rsid w:val="009632C0"/>
    <w:rsid w:val="00B45252"/>
    <w:rsid w:val="00B867D0"/>
    <w:rsid w:val="00C2004F"/>
    <w:rsid w:val="00D75FF9"/>
    <w:rsid w:val="00D909BD"/>
    <w:rsid w:val="00E04F91"/>
    <w:rsid w:val="00E12AC3"/>
    <w:rsid w:val="00EA11D4"/>
    <w:rsid w:val="00F32844"/>
    <w:rsid w:val="00F85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0DDE82-ED0F-4B41-80C8-4857D0C82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C53"/>
    <w:pPr>
      <w:ind w:left="720"/>
      <w:contextualSpacing/>
    </w:pPr>
  </w:style>
  <w:style w:type="character" w:styleId="Hyperlink">
    <w:name w:val="Hyperlink"/>
    <w:basedOn w:val="DefaultParagraphFont"/>
    <w:uiPriority w:val="99"/>
    <w:unhideWhenUsed/>
    <w:rsid w:val="00741C53"/>
    <w:rPr>
      <w:color w:val="0563C1" w:themeColor="hyperlink"/>
      <w:u w:val="single"/>
    </w:rPr>
  </w:style>
  <w:style w:type="character" w:styleId="FollowedHyperlink">
    <w:name w:val="FollowedHyperlink"/>
    <w:basedOn w:val="DefaultParagraphFont"/>
    <w:uiPriority w:val="99"/>
    <w:semiHidden/>
    <w:unhideWhenUsed/>
    <w:rsid w:val="000355F3"/>
    <w:rPr>
      <w:color w:val="954F72" w:themeColor="followedHyperlink"/>
      <w:u w:val="single"/>
    </w:rPr>
  </w:style>
  <w:style w:type="table" w:styleId="TableGrid">
    <w:name w:val="Table Grid"/>
    <w:basedOn w:val="TableNormal"/>
    <w:uiPriority w:val="39"/>
    <w:rsid w:val="00002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53D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D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07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int/wer/2009/wer8440.pdf?ua=1" TargetMode="External"/><Relationship Id="rId3" Type="http://schemas.openxmlformats.org/officeDocument/2006/relationships/settings" Target="settings.xml"/><Relationship Id="rId7" Type="http://schemas.openxmlformats.org/officeDocument/2006/relationships/hyperlink" Target="http://www.who.int/wer/2014/wer8901.pdf?ua=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gavialliance.org/support/nvs/human-papillomavirus-vaccine-support/" TargetMode="External"/><Relationship Id="rId4" Type="http://schemas.openxmlformats.org/officeDocument/2006/relationships/webSettings" Target="webSettings.xml"/><Relationship Id="rId9" Type="http://schemas.openxmlformats.org/officeDocument/2006/relationships/hyperlink" Target="http://www.who.int/wer/2009/wer8415.pdf?ua=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1804</Words>
  <Characters>10284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Burton</dc:creator>
  <cp:keywords/>
  <dc:description/>
  <cp:lastModifiedBy>Tony Burton</cp:lastModifiedBy>
  <cp:revision>2</cp:revision>
  <dcterms:created xsi:type="dcterms:W3CDTF">2014-04-03T08:23:00Z</dcterms:created>
  <dcterms:modified xsi:type="dcterms:W3CDTF">2014-04-03T08:23:00Z</dcterms:modified>
</cp:coreProperties>
</file>