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6EEA3" w14:textId="3E333524" w:rsidR="00FC2ECE" w:rsidRPr="003528E7" w:rsidRDefault="00FC2ECE" w:rsidP="003528E7">
      <w:pPr>
        <w:spacing w:after="0"/>
        <w:jc w:val="center"/>
        <w:rPr>
          <w:b/>
          <w:bCs/>
          <w:sz w:val="28"/>
          <w:szCs w:val="28"/>
        </w:rPr>
      </w:pPr>
      <w:bookmarkStart w:id="0" w:name="_GoBack"/>
      <w:bookmarkEnd w:id="0"/>
      <w:r w:rsidRPr="00987251">
        <w:rPr>
          <w:b/>
          <w:bCs/>
          <w:sz w:val="28"/>
          <w:szCs w:val="28"/>
        </w:rPr>
        <w:t>Template for Requests for Revisions to the DHS Model Questionnaires</w:t>
      </w:r>
      <w:r w:rsidR="003A7733" w:rsidRPr="00987251">
        <w:rPr>
          <w:b/>
          <w:bCs/>
          <w:sz w:val="28"/>
          <w:szCs w:val="28"/>
        </w:rPr>
        <w:t>, Optional Modules</w:t>
      </w:r>
      <w:r w:rsidR="00510943">
        <w:rPr>
          <w:b/>
          <w:bCs/>
          <w:sz w:val="28"/>
          <w:szCs w:val="28"/>
        </w:rPr>
        <w:t xml:space="preserve">, </w:t>
      </w:r>
      <w:r w:rsidR="003A7733" w:rsidRPr="00987251">
        <w:rPr>
          <w:b/>
          <w:bCs/>
          <w:sz w:val="28"/>
          <w:szCs w:val="28"/>
        </w:rPr>
        <w:t>and Biomarkers</w:t>
      </w:r>
      <w:r w:rsidR="003D45B0">
        <w:rPr>
          <w:b/>
          <w:bCs/>
          <w:sz w:val="28"/>
          <w:szCs w:val="28"/>
        </w:rPr>
        <w:t xml:space="preserve"> for DHS-8 (2018-2023)</w:t>
      </w:r>
    </w:p>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Default="00ED6D89" w:rsidP="00ED6D89">
      <w:pPr>
        <w:tabs>
          <w:tab w:val="left" w:pos="360"/>
        </w:tabs>
        <w:ind w:left="360" w:hanging="360"/>
      </w:pPr>
      <w:r>
        <w:t>1.</w:t>
      </w:r>
      <w:r>
        <w:tab/>
      </w:r>
      <w:r w:rsidR="003A7733">
        <w:t>Is this request being submitted on behalf of a group? If so, please provide the name of the group and the participating parties.</w:t>
      </w:r>
    </w:p>
    <w:p w14:paraId="4681C3D9" w14:textId="77777777" w:rsidR="006A365E" w:rsidRPr="003B54A0" w:rsidRDefault="006A365E" w:rsidP="006A365E">
      <w:pPr>
        <w:ind w:firstLine="360"/>
        <w:rPr>
          <w:rFonts w:cstheme="minorHAnsi"/>
        </w:rPr>
      </w:pPr>
      <w:r>
        <w:rPr>
          <w:rFonts w:cstheme="minorHAnsi"/>
        </w:rPr>
        <w:t xml:space="preserve">Yes, on behalf of a group: USAID, </w:t>
      </w:r>
      <w:r w:rsidRPr="003B54A0">
        <w:rPr>
          <w:rFonts w:cstheme="minorHAnsi"/>
        </w:rPr>
        <w:t>Office of Population and Reproductive Health</w:t>
      </w:r>
    </w:p>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291186BA" w14:textId="76249ED3" w:rsidR="00BE4C32" w:rsidRPr="00614F55" w:rsidRDefault="00ED6D89" w:rsidP="00ED6D89">
      <w:pPr>
        <w:tabs>
          <w:tab w:val="left" w:pos="360"/>
        </w:tabs>
        <w:ind w:left="360" w:hanging="360"/>
      </w:pPr>
      <w:r>
        <w:t xml:space="preserve">2. </w:t>
      </w:r>
      <w:r>
        <w:tab/>
      </w:r>
      <w:r w:rsidR="00FC2ECE">
        <w:t xml:space="preserve">Please </w:t>
      </w:r>
      <w:r w:rsidR="000278F5">
        <w:t>define</w:t>
      </w:r>
      <w:r w:rsidR="00BE4C32">
        <w:t xml:space="preserve"> the indicator or indicators </w:t>
      </w:r>
      <w:r w:rsidR="00006877">
        <w:t xml:space="preserve">you are requesting The DHS Program to </w:t>
      </w:r>
      <w:r w:rsidR="000278F5">
        <w:t>incorporate</w:t>
      </w:r>
      <w:r w:rsidR="00BE4C32">
        <w:t xml:space="preserve">. </w:t>
      </w:r>
      <w:r w:rsidR="00BE4C32" w:rsidRPr="00ED6D89">
        <w:rPr>
          <w:i/>
        </w:rPr>
        <w:t xml:space="preserve">Multiple indicators derived from a single set of questions </w:t>
      </w:r>
      <w:r w:rsidR="00006877" w:rsidRPr="00ED6D89">
        <w:rPr>
          <w:i/>
        </w:rPr>
        <w:t>should</w:t>
      </w:r>
      <w:r w:rsidR="00BE4C32" w:rsidRPr="00ED6D89">
        <w:rPr>
          <w:i/>
        </w:rPr>
        <w:t xml:space="preserve"> b</w:t>
      </w:r>
      <w:r w:rsidR="00736F09" w:rsidRPr="00ED6D89">
        <w:rPr>
          <w:i/>
        </w:rPr>
        <w:t>e included i</w:t>
      </w:r>
      <w:r w:rsidR="00BE4C32" w:rsidRPr="00ED6D89">
        <w:rPr>
          <w:i/>
        </w:rPr>
        <w:t xml:space="preserve">n the same </w:t>
      </w:r>
      <w:r w:rsidR="003D45B0" w:rsidRPr="00ED6D89">
        <w:rPr>
          <w:i/>
        </w:rPr>
        <w:t>submission</w:t>
      </w:r>
      <w:r w:rsidR="00006877" w:rsidRPr="00ED6D89">
        <w:rPr>
          <w:i/>
        </w:rPr>
        <w:t>.</w:t>
      </w:r>
      <w:r w:rsidR="0079250A" w:rsidRPr="00ED6D89">
        <w:rPr>
          <w:i/>
        </w:rPr>
        <w:t xml:space="preserve"> </w:t>
      </w:r>
      <w:r w:rsidR="0079250A" w:rsidRPr="0079250A">
        <w:t>(Response required)</w:t>
      </w:r>
    </w:p>
    <w:p w14:paraId="035A834B" w14:textId="426B8938" w:rsidR="007552A0" w:rsidRPr="00DD1C47" w:rsidRDefault="007552A0" w:rsidP="007552A0">
      <w:pPr>
        <w:tabs>
          <w:tab w:val="left" w:pos="360"/>
        </w:tabs>
        <w:ind w:left="360" w:hanging="360"/>
        <w:rPr>
          <w:b/>
        </w:rPr>
      </w:pPr>
      <w:r>
        <w:rPr>
          <w:b/>
        </w:rPr>
        <w:tab/>
      </w:r>
      <w:r w:rsidR="00FA3266" w:rsidRPr="00DD1C47">
        <w:rPr>
          <w:b/>
        </w:rPr>
        <w:t>Age at menarche</w:t>
      </w:r>
      <w:r w:rsidRPr="007552A0">
        <w:rPr>
          <w:b/>
        </w:rPr>
        <w:t xml:space="preserve">: </w:t>
      </w:r>
      <w:r w:rsidRPr="00DD1C47">
        <w:rPr>
          <w:b/>
        </w:rPr>
        <w:t>Percentage of women age 15-49 who had first menstruation (menarche) by specific exact ages and mean age at menarche, according to current age.</w:t>
      </w:r>
    </w:p>
    <w:p w14:paraId="28767A61" w14:textId="5C49B059" w:rsidR="00E42624" w:rsidRPr="00E42624" w:rsidRDefault="00ED6D89" w:rsidP="00ED6D89">
      <w:pPr>
        <w:tabs>
          <w:tab w:val="left" w:pos="360"/>
        </w:tabs>
        <w:ind w:left="360" w:hanging="360"/>
      </w:pPr>
      <w:r>
        <w:t xml:space="preserve">3. </w:t>
      </w:r>
      <w:r>
        <w:tab/>
      </w:r>
      <w:r w:rsidR="00E42624" w:rsidRPr="00E42624">
        <w:t xml:space="preserve">What is the rationale for measuring </w:t>
      </w:r>
      <w:r w:rsidR="00FA4713">
        <w:t>this</w:t>
      </w:r>
      <w:r w:rsidR="00E42624" w:rsidRPr="00E42624">
        <w:t xml:space="preserve"> indicator</w:t>
      </w:r>
      <w:r w:rsidR="00FA4713">
        <w:t xml:space="preserve"> (each of these indicators)</w:t>
      </w:r>
      <w:r w:rsidR="00E42624" w:rsidRPr="00E42624">
        <w:t xml:space="preserve"> in DHS surveys?</w:t>
      </w:r>
      <w:r w:rsidR="0079250A">
        <w:t xml:space="preserve"> (Response required)</w:t>
      </w:r>
    </w:p>
    <w:p w14:paraId="52E77891" w14:textId="41E33FCC" w:rsidR="00220325" w:rsidRDefault="002D52D6" w:rsidP="00DD1C47">
      <w:pPr>
        <w:ind w:left="360"/>
      </w:pPr>
      <w:r>
        <w:t xml:space="preserve">This question </w:t>
      </w:r>
      <w:r w:rsidR="006A365E">
        <w:t>has been</w:t>
      </w:r>
      <w:r>
        <w:t xml:space="preserve"> included in </w:t>
      </w:r>
      <w:r w:rsidR="006A365E">
        <w:t>30+</w:t>
      </w:r>
      <w:r>
        <w:t xml:space="preserve"> DHS. We are suggesting it be a standard in all DHS surveys</w:t>
      </w:r>
      <w:r w:rsidR="006A365E">
        <w:t xml:space="preserve"> so that we can better understand the timing of various life events for women and girls and the relationship of various events (here, </w:t>
      </w:r>
      <w:r w:rsidR="00726F5E">
        <w:t>menarche</w:t>
      </w:r>
      <w:r w:rsidR="006A365E">
        <w:t>) to one another (like school continuation, early marriage, experience of violence, and more)</w:t>
      </w:r>
      <w:r>
        <w:t xml:space="preserve">. </w:t>
      </w:r>
    </w:p>
    <w:p w14:paraId="08AD9FC6" w14:textId="7676D8E6" w:rsidR="00736F09" w:rsidRDefault="00D00F57" w:rsidP="00DA1513">
      <w:pPr>
        <w:pStyle w:val="Heading1"/>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the requested change is </w:t>
      </w:r>
      <w:r w:rsidR="00911C8F">
        <w:rPr>
          <w:i/>
        </w:rPr>
        <w:t>the</w:t>
      </w:r>
      <w:r w:rsidRPr="001C34C8">
        <w:rPr>
          <w:i/>
        </w:rPr>
        <w:t xml:space="preserve"> addition </w:t>
      </w:r>
      <w:r w:rsidR="00911C8F">
        <w:rPr>
          <w:i/>
        </w:rPr>
        <w:t xml:space="preserve">of new questions </w:t>
      </w:r>
      <w:r w:rsidRPr="001C34C8">
        <w:rPr>
          <w:i/>
        </w:rPr>
        <w:t>to the DHS questionnaire</w:t>
      </w:r>
      <w:r w:rsidR="00911C8F">
        <w:rPr>
          <w:i/>
        </w:rPr>
        <w:t>s or modules</w:t>
      </w:r>
      <w:r w:rsidR="001C34C8" w:rsidRPr="001C34C8">
        <w:rPr>
          <w:i/>
        </w:rPr>
        <w:t>, complete questions 4.1 and 4.1.1. If the requested change is a revision to existing que</w:t>
      </w:r>
      <w:r w:rsidR="00B71A43">
        <w:rPr>
          <w:i/>
        </w:rPr>
        <w:t>stions, complete question 4.2. I</w:t>
      </w:r>
      <w:r w:rsidR="001C34C8" w:rsidRPr="001C34C8">
        <w:rPr>
          <w:i/>
        </w:rPr>
        <w:t>f the change relates to a</w:t>
      </w:r>
      <w:r w:rsidR="00DA1513">
        <w:rPr>
          <w:i/>
        </w:rPr>
        <w:t>nthropometry or a</w:t>
      </w:r>
      <w:r w:rsidR="001C34C8" w:rsidRPr="001C34C8">
        <w:rPr>
          <w:i/>
        </w:rPr>
        <w:t xml:space="preserve"> biomarker, please complete question 4.3.</w:t>
      </w:r>
    </w:p>
    <w:p w14:paraId="2DB90F2C" w14:textId="4BDED5EE" w:rsidR="00264A83" w:rsidRDefault="00E42624" w:rsidP="00ED307C">
      <w:pPr>
        <w:tabs>
          <w:tab w:val="left" w:pos="810"/>
        </w:tabs>
        <w:ind w:left="810" w:hanging="450"/>
      </w:pPr>
      <w:r>
        <w:t>4</w:t>
      </w:r>
      <w:r w:rsidR="00264A83">
        <w:t>.1</w:t>
      </w:r>
      <w:r w:rsidR="00D00F57">
        <w:t xml:space="preserve">. </w:t>
      </w:r>
      <w:r w:rsidR="00ED307C">
        <w:tab/>
      </w:r>
      <w:r w:rsidR="00D00F57" w:rsidRPr="00D00F57">
        <w:rPr>
          <w:b/>
        </w:rPr>
        <w:t>For additions</w:t>
      </w:r>
      <w:r w:rsidR="00D00F57">
        <w:t>: If</w:t>
      </w:r>
      <w:r w:rsidR="003D45B0">
        <w:t xml:space="preserve"> you have developed</w:t>
      </w:r>
      <w:r w:rsidR="00D00F57">
        <w:t xml:space="preserve"> a </w:t>
      </w:r>
      <w:r w:rsidR="003D45B0">
        <w:t xml:space="preserve">question or </w:t>
      </w:r>
      <w:r w:rsidR="00D00F57">
        <w:t xml:space="preserve">set of questions to measure the indicator(s), </w:t>
      </w:r>
      <w:r w:rsidR="00CB1C12">
        <w:t xml:space="preserve">please </w:t>
      </w:r>
      <w:r w:rsidR="00D00F57">
        <w:t>provide them in the space below</w:t>
      </w:r>
      <w:r w:rsidR="008A5148">
        <w:t xml:space="preserve"> or in a separate file attached </w:t>
      </w:r>
      <w:r w:rsidR="00911C8F">
        <w:t>with</w:t>
      </w:r>
      <w:r w:rsidR="008A5148">
        <w:t xml:space="preserve"> your submission</w:t>
      </w:r>
      <w:r w:rsidR="00ED307C">
        <w:t xml:space="preserve">. </w:t>
      </w:r>
    </w:p>
    <w:p w14:paraId="766ACF9A" w14:textId="6AA754B6" w:rsidR="00220325" w:rsidRDefault="006A365E">
      <w:r>
        <w:tab/>
      </w:r>
      <w:r w:rsidDel="006A365E">
        <w:t xml:space="preserve"> </w:t>
      </w:r>
      <w:r w:rsidR="002D52D6">
        <w:t xml:space="preserve">“How old were you when you first </w:t>
      </w:r>
      <w:r>
        <w:t>had your menstrual period</w:t>
      </w:r>
      <w:r w:rsidR="002D52D6">
        <w:t>?”</w:t>
      </w:r>
    </w:p>
    <w:p w14:paraId="24342D71" w14:textId="0A8E18E9" w:rsidR="00D00F57" w:rsidRDefault="00E42624" w:rsidP="00C420DE">
      <w:pPr>
        <w:tabs>
          <w:tab w:val="left" w:pos="810"/>
        </w:tabs>
        <w:ind w:left="810" w:hanging="450"/>
      </w:pPr>
      <w:r>
        <w:t>4</w:t>
      </w:r>
      <w:r w:rsidR="00264A83">
        <w:t>.2</w:t>
      </w:r>
      <w:r w:rsidR="00C420DE">
        <w:t>.</w:t>
      </w:r>
      <w:r w:rsidR="00D00F57">
        <w:t xml:space="preserve"> </w:t>
      </w:r>
      <w:r w:rsidR="00264A83">
        <w:tab/>
      </w:r>
      <w:r w:rsidR="00D00F57" w:rsidRPr="00D00F57">
        <w:rPr>
          <w:b/>
        </w:rPr>
        <w:t>For revisions to existing questions</w:t>
      </w:r>
      <w:r w:rsidR="00CE7ABE">
        <w:t>: P</w:t>
      </w:r>
      <w:r w:rsidR="00D00F57">
        <w:t>lease specify the DHS-7 question number, the proposed revision to the question, and the rationale.</w:t>
      </w:r>
    </w:p>
    <w:p w14:paraId="085E6B07" w14:textId="0D71A29B" w:rsidR="006A365E" w:rsidRDefault="006A365E" w:rsidP="00C420DE">
      <w:pPr>
        <w:tabs>
          <w:tab w:val="left" w:pos="810"/>
        </w:tabs>
        <w:ind w:left="810" w:hanging="450"/>
      </w:pPr>
      <w:r>
        <w:tab/>
        <w:t>N/A.</w:t>
      </w:r>
    </w:p>
    <w:p w14:paraId="00ECAA04" w14:textId="5B77CB01" w:rsidR="00D00F57" w:rsidRDefault="00E42624" w:rsidP="00C420DE">
      <w:pPr>
        <w:tabs>
          <w:tab w:val="left" w:pos="810"/>
        </w:tabs>
        <w:ind w:left="810" w:hanging="450"/>
      </w:pPr>
      <w:r>
        <w:lastRenderedPageBreak/>
        <w:t>4</w:t>
      </w:r>
      <w:r w:rsidR="00D00F57">
        <w:t>.</w:t>
      </w:r>
      <w:r w:rsidR="008A5148">
        <w:t>3</w:t>
      </w:r>
      <w:r w:rsidR="00C420DE">
        <w:t>.</w:t>
      </w:r>
      <w:r w:rsidR="00D00F57">
        <w:t xml:space="preserve"> </w:t>
      </w:r>
      <w:r w:rsidR="00264A83">
        <w:tab/>
      </w:r>
      <w:r w:rsidR="00D00F57" w:rsidRPr="009D1D04">
        <w:rPr>
          <w:b/>
        </w:rPr>
        <w:t xml:space="preserve">For </w:t>
      </w:r>
      <w:r w:rsidR="00DA1513">
        <w:rPr>
          <w:b/>
        </w:rPr>
        <w:t xml:space="preserve">anthropometry and </w:t>
      </w:r>
      <w:r w:rsidR="00D00F57" w:rsidRPr="009D1D04">
        <w:rPr>
          <w:b/>
        </w:rPr>
        <w:t>biomarkers</w:t>
      </w:r>
      <w:r w:rsidR="00D00F57">
        <w:t xml:space="preserve">: </w:t>
      </w:r>
      <w:r w:rsidR="00987251">
        <w:t xml:space="preserve">Please </w:t>
      </w:r>
      <w:r w:rsidR="00D00F57">
        <w:t xml:space="preserve">describe the </w:t>
      </w:r>
      <w:r w:rsidR="00DA1513">
        <w:t xml:space="preserve">measurement procedures or </w:t>
      </w:r>
      <w:r w:rsidR="00D00F57">
        <w:t xml:space="preserve">specimen collection </w:t>
      </w:r>
      <w:r w:rsidR="00DA1513">
        <w:t>procedures, point-of-care or laboratory testing</w:t>
      </w:r>
      <w:r w:rsidR="00D00F57">
        <w:t xml:space="preserve"> procedures</w:t>
      </w:r>
      <w:r w:rsidR="00DA1513">
        <w:t xml:space="preserve"> (as relevant), and any</w:t>
      </w:r>
      <w:r w:rsidR="00D00F57">
        <w:t xml:space="preserve"> recommendations for return of results.</w:t>
      </w:r>
    </w:p>
    <w:p w14:paraId="1DB3D622" w14:textId="7EC2C30F" w:rsidR="006A365E" w:rsidRDefault="006A365E" w:rsidP="00C420DE">
      <w:pPr>
        <w:tabs>
          <w:tab w:val="left" w:pos="810"/>
        </w:tabs>
        <w:ind w:left="810" w:hanging="450"/>
      </w:pPr>
      <w:r>
        <w:tab/>
        <w:t>N/A</w:t>
      </w:r>
    </w:p>
    <w:p w14:paraId="0E73E448" w14:textId="71C77C0F" w:rsidR="00383E4F" w:rsidRDefault="00ED6D89" w:rsidP="00C01B50">
      <w:pPr>
        <w:tabs>
          <w:tab w:val="left" w:pos="360"/>
        </w:tabs>
        <w:ind w:left="360" w:hanging="360"/>
      </w:pPr>
      <w:r>
        <w:t>5.</w:t>
      </w:r>
      <w:r>
        <w:tab/>
      </w:r>
      <w:r w:rsidR="00D00F57">
        <w:t>Can any related questions be deleted from the questionnaire to make room for the proposed new content?</w:t>
      </w:r>
      <w:r w:rsidR="00034FA5">
        <w:t xml:space="preserve"> If so please specify which questions using the DHS-7 question numbers. </w:t>
      </w:r>
    </w:p>
    <w:p w14:paraId="3122A953" w14:textId="686C9B24" w:rsidR="00383E4F" w:rsidRDefault="006A365E" w:rsidP="00C01B50">
      <w:pPr>
        <w:tabs>
          <w:tab w:val="left" w:pos="360"/>
        </w:tabs>
        <w:ind w:left="360" w:hanging="360"/>
      </w:pPr>
      <w:r>
        <w:tab/>
      </w:r>
      <w:r w:rsidR="00C01B50">
        <w:t>No</w:t>
      </w:r>
      <w:r>
        <w:t>.</w:t>
      </w:r>
    </w:p>
    <w:p w14:paraId="75B605B2" w14:textId="64064D20" w:rsidR="00264A83" w:rsidRDefault="00ED6D89" w:rsidP="00ED6D89">
      <w:pPr>
        <w:tabs>
          <w:tab w:val="left" w:pos="360"/>
        </w:tabs>
        <w:ind w:left="360" w:hanging="360"/>
      </w:pPr>
      <w:r>
        <w:t xml:space="preserve">6. </w:t>
      </w:r>
      <w:r>
        <w:tab/>
      </w:r>
      <w:r w:rsidR="00264A83">
        <w:t>What are the implications of these requested changes on measurement of trends using DHS data?</w:t>
      </w:r>
    </w:p>
    <w:p w14:paraId="01728479" w14:textId="64360C76" w:rsidR="00BF4DFF" w:rsidRDefault="002D52D6" w:rsidP="00DD1C47">
      <w:pPr>
        <w:pStyle w:val="ListParagraph"/>
        <w:ind w:left="0" w:firstLine="360"/>
      </w:pPr>
      <w:r>
        <w:t>None</w:t>
      </w:r>
      <w:r w:rsidR="006A365E">
        <w:t xml:space="preserve">.  </w:t>
      </w:r>
    </w:p>
    <w:p w14:paraId="7AE0855F" w14:textId="7E612B1D"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07DCD23D" w14:textId="528F85BA" w:rsidR="00006877" w:rsidRDefault="00ED6D89" w:rsidP="00ED6D89">
      <w:pPr>
        <w:tabs>
          <w:tab w:val="left" w:pos="360"/>
        </w:tabs>
        <w:ind w:left="360" w:hanging="360"/>
      </w:pPr>
      <w:r>
        <w:t>7.</w:t>
      </w:r>
      <w:r>
        <w:tab/>
      </w:r>
      <w:r w:rsidR="000278F5">
        <w:t>I</w:t>
      </w:r>
      <w:r w:rsidR="00BE4C32">
        <w:t xml:space="preserve">ndicate how </w:t>
      </w:r>
      <w:r w:rsidR="000278F5">
        <w:t>to calculate the indicator</w:t>
      </w:r>
      <w:r w:rsidR="00264A83">
        <w:t>(s)</w:t>
      </w:r>
      <w:r w:rsidR="000278F5">
        <w:t xml:space="preserve">. Include detailed definitions of </w:t>
      </w:r>
      <w:r w:rsidR="00BE4C32">
        <w:t>the numerator and denominator</w:t>
      </w:r>
      <w:r w:rsidR="00264A83">
        <w:t xml:space="preserve"> of each individual indicator</w:t>
      </w:r>
      <w:r w:rsidR="000278F5">
        <w:t>.</w:t>
      </w:r>
      <w:r w:rsidR="00CE7ABE">
        <w:t xml:space="preserve"> If you have developed a tabulation plan for the indicator(s), please attach a file including the suggested table(s) with your submission.</w:t>
      </w:r>
    </w:p>
    <w:p w14:paraId="690E5550" w14:textId="6F18E2D1" w:rsidR="00637ABF" w:rsidRPr="00637ABF" w:rsidRDefault="00082244">
      <w:pPr>
        <w:tabs>
          <w:tab w:val="left" w:pos="360"/>
        </w:tabs>
        <w:ind w:left="360" w:hanging="360"/>
      </w:pPr>
      <w:r>
        <w:tab/>
      </w:r>
      <w:r w:rsidRPr="00DD1C47">
        <w:rPr>
          <w:b/>
        </w:rPr>
        <w:t>Percentage of women age 15-49 who had first menstruation (menarche) by specific exact ages and mean age at menarche, according to current age</w:t>
      </w:r>
      <w:r w:rsidR="00637ABF">
        <w:rPr>
          <w:b/>
        </w:rPr>
        <w:t xml:space="preserve"> </w:t>
      </w:r>
      <w:r w:rsidR="00637ABF">
        <w:t>(</w:t>
      </w:r>
      <w:r w:rsidR="00726F5E">
        <w:t xml:space="preserve">for example, </w:t>
      </w:r>
      <w:r w:rsidR="00637ABF">
        <w:t>see</w:t>
      </w:r>
      <w:r w:rsidR="007552A0">
        <w:t xml:space="preserve"> </w:t>
      </w:r>
      <w:r w:rsidR="00637ABF">
        <w:t>Table 4.4 of the Philippines 2017 DHS)</w:t>
      </w:r>
    </w:p>
    <w:p w14:paraId="34C6538E" w14:textId="0888F5F2" w:rsidR="007552A0" w:rsidRDefault="007552A0" w:rsidP="00DD1C47">
      <w:pPr>
        <w:ind w:left="360"/>
      </w:pPr>
      <w:r>
        <w:t>For mean age at menarche among all women, the calculation would be:</w:t>
      </w:r>
    </w:p>
    <w:p w14:paraId="0E7A0119" w14:textId="4B192324" w:rsidR="002D52D6" w:rsidRDefault="002D52D6" w:rsidP="00DD1C47">
      <w:pPr>
        <w:ind w:left="720"/>
      </w:pPr>
      <w:r>
        <w:t>Numerator: Age of Women 15-</w:t>
      </w:r>
      <w:r w:rsidR="007552A0">
        <w:t xml:space="preserve">49 </w:t>
      </w:r>
      <w:r>
        <w:t xml:space="preserve">when they first started </w:t>
      </w:r>
      <w:r w:rsidR="00566BBC">
        <w:t>menarche</w:t>
      </w:r>
    </w:p>
    <w:p w14:paraId="46435507" w14:textId="3C4D7917" w:rsidR="00F1343B" w:rsidRDefault="002D52D6" w:rsidP="00DD1C47">
      <w:pPr>
        <w:ind w:left="720"/>
      </w:pPr>
      <w:r>
        <w:t xml:space="preserve">Denominator: </w:t>
      </w:r>
      <w:r w:rsidR="007552A0">
        <w:t>Women age 15-49</w:t>
      </w:r>
    </w:p>
    <w:p w14:paraId="71E0A619" w14:textId="1F6B2B32" w:rsidR="00D45347" w:rsidRDefault="00ED6D89" w:rsidP="00ED6D89">
      <w:pPr>
        <w:tabs>
          <w:tab w:val="left" w:pos="360"/>
        </w:tabs>
        <w:spacing w:after="0"/>
        <w:ind w:left="360" w:hanging="360"/>
      </w:pPr>
      <w:r>
        <w:t xml:space="preserve">8. </w:t>
      </w:r>
      <w:r>
        <w:tab/>
      </w:r>
      <w:r w:rsidR="00D45347">
        <w:t>Is th</w:t>
      </w:r>
      <w:r w:rsidR="00A50F80">
        <w:t>e</w:t>
      </w:r>
      <w:r w:rsidR="00D45347">
        <w:t xml:space="preserve"> indicator useful when measured at the national level, or is it useful only </w:t>
      </w:r>
      <w:r w:rsidR="00F1343B">
        <w:t xml:space="preserve">when disaggregated to </w:t>
      </w:r>
      <w:r w:rsidR="00D45347">
        <w:t xml:space="preserve">specific subnational areas, such as endemicity zones or project intervention regions? </w:t>
      </w:r>
    </w:p>
    <w:p w14:paraId="493156B5" w14:textId="77777777" w:rsidR="006D6AB2" w:rsidRDefault="006D6AB2" w:rsidP="00A50F80">
      <w:pPr>
        <w:spacing w:after="0"/>
        <w:ind w:left="360"/>
        <w:rPr>
          <w:i/>
        </w:rPr>
      </w:pPr>
    </w:p>
    <w:p w14:paraId="25061223" w14:textId="2B1AD469" w:rsidR="00C970EB" w:rsidRPr="00F304C7"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endemicity zones or project intervention regions. A single estimate at the 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F304C7" w14:paraId="2C446398" w14:textId="77777777" w:rsidTr="003B03C8">
        <w:tc>
          <w:tcPr>
            <w:tcW w:w="2337" w:type="dxa"/>
          </w:tcPr>
          <w:p w14:paraId="52D6F30F" w14:textId="77777777" w:rsidR="00F304C7" w:rsidRDefault="00F304C7" w:rsidP="009C5795"/>
          <w:p w14:paraId="1B375A4C" w14:textId="351605C8" w:rsidR="00F304C7" w:rsidRDefault="002D52D6" w:rsidP="009C5795">
            <w:r>
              <w:t>Age at menarche</w:t>
            </w:r>
          </w:p>
        </w:tc>
        <w:sdt>
          <w:sdtPr>
            <w:id w:val="2031673305"/>
            <w:lock w:val="sdtLocked"/>
            <w14:checkbox>
              <w14:checked w14:val="0"/>
              <w14:checkedState w14:val="2612" w14:font="MS Gothic"/>
              <w14:uncheckedState w14:val="2610" w14:font="MS Gothic"/>
            </w14:checkbox>
          </w:sdtPr>
          <w:sdtEndPr/>
          <w:sdtContent>
            <w:tc>
              <w:tcPr>
                <w:tcW w:w="2337" w:type="dxa"/>
                <w:vAlign w:val="center"/>
              </w:tcPr>
              <w:p w14:paraId="358FD2E7" w14:textId="2F4289D3" w:rsidR="00F304C7" w:rsidRDefault="00F1343B" w:rsidP="003B03C8">
                <w:pPr>
                  <w:jc w:val="center"/>
                </w:pPr>
                <w:r>
                  <w:rPr>
                    <w:rFonts w:ascii="MS Gothic" w:eastAsia="MS Gothic" w:hAnsi="MS Gothic" w:hint="eastAsia"/>
                  </w:rPr>
                  <w:t>☐</w:t>
                </w:r>
              </w:p>
            </w:tc>
          </w:sdtContent>
        </w:sdt>
        <w:sdt>
          <w:sdtPr>
            <w:id w:val="333123231"/>
            <w14:checkbox>
              <w14:checked w14:val="1"/>
              <w14:checkedState w14:val="2612" w14:font="MS Gothic"/>
              <w14:uncheckedState w14:val="2610" w14:font="MS Gothic"/>
            </w14:checkbox>
          </w:sdtPr>
          <w:sdtEndPr/>
          <w:sdtContent>
            <w:tc>
              <w:tcPr>
                <w:tcW w:w="2338" w:type="dxa"/>
                <w:vAlign w:val="center"/>
              </w:tcPr>
              <w:p w14:paraId="699AB1B8" w14:textId="7E65215C" w:rsidR="00F304C7" w:rsidRDefault="002D52D6" w:rsidP="003B03C8">
                <w:pPr>
                  <w:jc w:val="center"/>
                </w:pPr>
                <w:r>
                  <w:rPr>
                    <w:rFonts w:ascii="MS Gothic" w:eastAsia="MS Gothic" w:hAnsi="MS Gothic" w:hint="eastAsia"/>
                  </w:rPr>
                  <w:t>☒</w:t>
                </w:r>
              </w:p>
            </w:tc>
          </w:sdtContent>
        </w:sdt>
        <w:sdt>
          <w:sdtPr>
            <w:id w:val="659276008"/>
            <w14:checkbox>
              <w14:checked w14:val="0"/>
              <w14:checkedState w14:val="2612" w14:font="MS Gothic"/>
              <w14:uncheckedState w14:val="2610" w14:font="MS Gothic"/>
            </w14:checkbox>
          </w:sdtPr>
          <w:sdtEndPr/>
          <w:sdtContent>
            <w:tc>
              <w:tcPr>
                <w:tcW w:w="2338" w:type="dxa"/>
                <w:vAlign w:val="center"/>
              </w:tcPr>
              <w:p w14:paraId="6EA0DCD2" w14:textId="67C44474" w:rsidR="00F304C7" w:rsidRDefault="003B03C8" w:rsidP="003B03C8">
                <w:pPr>
                  <w:jc w:val="center"/>
                </w:pPr>
                <w:r>
                  <w:rPr>
                    <w:rFonts w:ascii="MS Gothic" w:eastAsia="MS Gothic" w:hAnsi="MS Gothic" w:hint="eastAsia"/>
                  </w:rPr>
                  <w:t>☐</w:t>
                </w:r>
              </w:p>
            </w:tc>
          </w:sdtContent>
        </w:sdt>
      </w:tr>
    </w:tbl>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67DD82D1" w14:textId="67011305" w:rsidR="00383E4F" w:rsidRDefault="00282253" w:rsidP="002D52D6">
      <w:pPr>
        <w:tabs>
          <w:tab w:val="left" w:pos="360"/>
        </w:tabs>
        <w:ind w:left="360" w:hanging="360"/>
      </w:pPr>
      <w:r>
        <w:lastRenderedPageBreak/>
        <w:t>9</w:t>
      </w:r>
      <w:r w:rsidR="00D749DB">
        <w:t xml:space="preserve">. </w:t>
      </w:r>
      <w:r w:rsidR="00D749DB">
        <w:tab/>
      </w:r>
      <w:r w:rsidR="00D00F57">
        <w:t xml:space="preserve">Have the proposed questions undergone any formal validation; i.e., have the questions been tested against </w:t>
      </w:r>
      <w:r w:rsidR="00F1343B">
        <w:t xml:space="preserve">a </w:t>
      </w:r>
      <w:r w:rsidR="00D00F57">
        <w:t xml:space="preserve">“gold standard” to assess their accuracy? If yes, please describe how well or poorly the questions performed and/or provide a publication or report of the validation exercise (or a link). </w:t>
      </w:r>
    </w:p>
    <w:p w14:paraId="4CE00E16" w14:textId="2C6E8236" w:rsidR="00383E4F" w:rsidRDefault="002D52D6" w:rsidP="00DD1C47">
      <w:pPr>
        <w:ind w:left="360"/>
      </w:pPr>
      <w:r>
        <w:t>The</w:t>
      </w:r>
      <w:r w:rsidR="007552A0">
        <w:t xml:space="preserve"> proposed question</w:t>
      </w:r>
      <w:r>
        <w:t xml:space="preserve"> ha</w:t>
      </w:r>
      <w:r w:rsidR="007552A0">
        <w:t>s</w:t>
      </w:r>
      <w:r>
        <w:t xml:space="preserve"> been </w:t>
      </w:r>
      <w:r w:rsidR="007552A0">
        <w:t xml:space="preserve">implemented </w:t>
      </w:r>
      <w:r>
        <w:t xml:space="preserve">in </w:t>
      </w:r>
      <w:r w:rsidR="007552A0">
        <w:t>30+</w:t>
      </w:r>
      <w:r>
        <w:t xml:space="preserve"> DHS surveys already.</w:t>
      </w:r>
      <w:r w:rsidR="00E91439">
        <w:t xml:space="preserve">  It is part of numerous other health surveys and studies, such as the U.S. Nurses Health Study II, U.S. National Survey of Family Growth, U.S. National Health and Nutrition Examination Survey, and many more surveys around the world.</w:t>
      </w:r>
    </w:p>
    <w:p w14:paraId="68F6DE2B" w14:textId="7ABA2E19" w:rsidR="007552A0" w:rsidRDefault="00D9355E" w:rsidP="00D9355E">
      <w:pPr>
        <w:tabs>
          <w:tab w:val="left" w:pos="360"/>
        </w:tabs>
        <w:ind w:left="360" w:hanging="360"/>
      </w:pPr>
      <w:r>
        <w:t>10.</w:t>
      </w:r>
      <w:r>
        <w:tab/>
      </w:r>
      <w:r w:rsidR="00D00F57">
        <w:t>Have the questions undergone any other kind of testing; e.g., cognit</w:t>
      </w:r>
      <w:r w:rsidR="00A50F80">
        <w:t>ive testing, pilot testing.</w:t>
      </w:r>
      <w:r w:rsidR="00D00F57">
        <w:t xml:space="preserve"> If so, please describe the results of the testing and/or provide a publication or report of the findings (or a link). </w:t>
      </w:r>
    </w:p>
    <w:p w14:paraId="1DEB774C" w14:textId="10750B4A" w:rsidR="007552A0" w:rsidRDefault="007552A0" w:rsidP="00D9355E">
      <w:pPr>
        <w:tabs>
          <w:tab w:val="left" w:pos="360"/>
        </w:tabs>
        <w:ind w:left="360" w:hanging="360"/>
      </w:pPr>
      <w:r>
        <w:tab/>
        <w:t>We believe these questions have been through cognitive and pilot testing, although we do not have any specific publication to point to.</w:t>
      </w:r>
    </w:p>
    <w:p w14:paraId="4805970F" w14:textId="17D6BFC3" w:rsidR="00BE4C32" w:rsidRPr="00006877" w:rsidRDefault="000E1EC7" w:rsidP="00006877">
      <w:pPr>
        <w:pStyle w:val="Heading1"/>
        <w:rPr>
          <w:b/>
        </w:rPr>
      </w:pPr>
      <w:r w:rsidRPr="00006877">
        <w:rPr>
          <w:b/>
        </w:rPr>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Default="00D9355E" w:rsidP="00D9355E">
      <w:pPr>
        <w:pStyle w:val="NoSpacing"/>
        <w:tabs>
          <w:tab w:val="left" w:pos="360"/>
        </w:tabs>
        <w:ind w:left="360" w:hanging="360"/>
      </w:pPr>
      <w:r>
        <w:t>11.</w:t>
      </w:r>
      <w:r>
        <w:tab/>
      </w:r>
      <w:r w:rsidR="00264A83">
        <w:t>Please provide information relevant to the ki</w:t>
      </w:r>
      <w:r w:rsidR="00C420DE">
        <w:t>n</w:t>
      </w:r>
      <w:r w:rsidR="00264A83">
        <w:t>ds of questions below,</w:t>
      </w:r>
      <w:r w:rsidR="008A5148" w:rsidRPr="008A5148">
        <w:t xml:space="preserve"> </w:t>
      </w:r>
      <w:r w:rsidR="008A5148">
        <w:t>and/or anything else you wish to share with us about this indicator (these indicators).</w:t>
      </w:r>
    </w:p>
    <w:p w14:paraId="25604370" w14:textId="77777777" w:rsidR="00D45347" w:rsidRDefault="00D45347" w:rsidP="00D45347">
      <w:pPr>
        <w:pStyle w:val="ListParagraph"/>
        <w:ind w:left="360"/>
      </w:pPr>
    </w:p>
    <w:p w14:paraId="73CED6FB" w14:textId="0A357E07" w:rsidR="00B96B5C" w:rsidRDefault="00D15788" w:rsidP="00DD1C47">
      <w:pPr>
        <w:pStyle w:val="ListParagraph"/>
        <w:numPr>
          <w:ilvl w:val="0"/>
          <w:numId w:val="20"/>
        </w:numPr>
        <w:spacing w:after="0"/>
        <w:ind w:left="720"/>
      </w:pPr>
      <w:r>
        <w:t>Describe how the d</w:t>
      </w:r>
      <w:r w:rsidR="00006877">
        <w:t xml:space="preserve">ata for this indicator </w:t>
      </w:r>
      <w:r w:rsidR="009854DE">
        <w:t xml:space="preserve">are </w:t>
      </w:r>
      <w:r w:rsidR="00006877">
        <w:t xml:space="preserve">being </w:t>
      </w:r>
      <w:r w:rsidR="00B96B5C">
        <w:t>used (</w:t>
      </w:r>
      <w:r w:rsidR="00006877">
        <w:t xml:space="preserve">or </w:t>
      </w:r>
      <w:r>
        <w:t>will be used</w:t>
      </w:r>
      <w:r w:rsidR="00B96B5C">
        <w:t>)</w:t>
      </w:r>
      <w:r>
        <w:t xml:space="preserve">. </w:t>
      </w:r>
    </w:p>
    <w:p w14:paraId="02F06613" w14:textId="77777777" w:rsidR="00D45347" w:rsidRDefault="00D15788" w:rsidP="00DD1C47">
      <w:pPr>
        <w:pStyle w:val="ListParagraph"/>
        <w:numPr>
          <w:ilvl w:val="1"/>
          <w:numId w:val="16"/>
        </w:numPr>
        <w:spacing w:after="0"/>
        <w:ind w:left="1080"/>
      </w:pPr>
      <w:r>
        <w:t xml:space="preserve">Are the data produced by this indicator actionable? </w:t>
      </w:r>
    </w:p>
    <w:p w14:paraId="230D279D" w14:textId="77777777" w:rsidR="00D45347" w:rsidRDefault="00D15788" w:rsidP="00DD1C47">
      <w:pPr>
        <w:pStyle w:val="ListParagraph"/>
        <w:numPr>
          <w:ilvl w:val="1"/>
          <w:numId w:val="16"/>
        </w:numPr>
        <w:spacing w:after="0"/>
        <w:ind w:left="1080"/>
      </w:pPr>
      <w:r>
        <w:t xml:space="preserve">Who will use the data? </w:t>
      </w:r>
    </w:p>
    <w:p w14:paraId="48983862" w14:textId="5B889D73" w:rsidR="00D15788" w:rsidRDefault="00D15788" w:rsidP="00DD1C47">
      <w:pPr>
        <w:pStyle w:val="ListParagraph"/>
        <w:numPr>
          <w:ilvl w:val="1"/>
          <w:numId w:val="16"/>
        </w:numPr>
        <w:spacing w:after="0"/>
        <w:ind w:left="1080"/>
      </w:pPr>
      <w:r>
        <w:t xml:space="preserve">What kinds of decisions will be made using these data? </w:t>
      </w:r>
    </w:p>
    <w:p w14:paraId="25F5AF68" w14:textId="78FE5516" w:rsidR="008D519B" w:rsidRDefault="00B71A43" w:rsidP="00DD1C47">
      <w:pPr>
        <w:pStyle w:val="ListParagraph"/>
        <w:numPr>
          <w:ilvl w:val="0"/>
          <w:numId w:val="16"/>
        </w:numPr>
        <w:spacing w:after="0"/>
      </w:pPr>
      <w:r>
        <w:t>For what kinds of countries would the indicator(s) be most useful?</w:t>
      </w:r>
    </w:p>
    <w:p w14:paraId="77FD0806" w14:textId="5D1F1BE7" w:rsidR="00A67ECE" w:rsidRDefault="00A67ECE" w:rsidP="00DD1C47">
      <w:pPr>
        <w:pStyle w:val="ListParagraph"/>
        <w:numPr>
          <w:ilvl w:val="0"/>
          <w:numId w:val="20"/>
        </w:numPr>
        <w:spacing w:after="0"/>
        <w:ind w:left="720"/>
      </w:pPr>
      <w:r>
        <w:t xml:space="preserve">Does the DHS survey offer any particular advantage over other available data sources for </w:t>
      </w:r>
      <w:r w:rsidR="00950074">
        <w:t xml:space="preserve">measuring </w:t>
      </w:r>
      <w:r>
        <w:t>this indicator?</w:t>
      </w:r>
      <w:r w:rsidR="008D519B">
        <w:t xml:space="preserve"> If so, what?</w:t>
      </w:r>
    </w:p>
    <w:p w14:paraId="00EEEE04" w14:textId="77777777" w:rsidR="00A67ECE" w:rsidRDefault="00A67ECE" w:rsidP="00D45347">
      <w:pPr>
        <w:pStyle w:val="ListParagraph"/>
        <w:spacing w:after="0"/>
        <w:ind w:left="360" w:hanging="360"/>
      </w:pPr>
    </w:p>
    <w:p w14:paraId="3021623C" w14:textId="74DC7875" w:rsidR="00FC2ECE" w:rsidRDefault="002D52D6" w:rsidP="00726F5E">
      <w:pPr>
        <w:ind w:left="360"/>
      </w:pPr>
      <w:r>
        <w:t xml:space="preserve">Age at menarche is an important analytical variable to understand </w:t>
      </w:r>
      <w:r w:rsidR="009B0838">
        <w:t>health status</w:t>
      </w:r>
      <w:r w:rsidR="007552A0">
        <w:t xml:space="preserve"> </w:t>
      </w:r>
      <w:r w:rsidR="009B0838">
        <w:fldChar w:fldCharType="begin"/>
      </w:r>
      <w:r w:rsidR="009B0838">
        <w:instrText xml:space="preserve"> ADDIN ZOTERO_ITEM CSL_CITATION {"citationID":"gMrPFwC1","properties":{"formattedCitation":"(ACOG 2015)","plainCitation":"(ACOG 2015)","noteIndex":0},"citationItems":[{"id":63,"uris":["http://zotero.org/users/4988819/items/7ZPHEZ6N"],"uri":["http://zotero.org/users/4988819/items/7ZPHEZ6N"],"itemData":{"id":63,"type":"webpage","title":"Menstruation in Girls and Adolescents: Using the Menstrual Cycle as a Vital Sign - ACOG","URL":"https://www.acog.org/Clinical-Guidance-and-Publications/Committee-Opinions/Committee-on-Adolescent-Health-Care/Menstruation-in-Girls-and-Adolescents-Using-the-Menstrual-Cycle-as-a-Vital-Sign?IsMobileSet=false","author":[{"family":"ACOG","given":""}],"issued":{"date-parts":[["2015"]]},"accessed":{"date-parts":[["2019",3,7]]}}}],"schema":"https://github.com/citation-style-language/schema/raw/master/csl-citation.json"} </w:instrText>
      </w:r>
      <w:r w:rsidR="009B0838">
        <w:fldChar w:fldCharType="separate"/>
      </w:r>
      <w:r w:rsidR="009B0838" w:rsidRPr="009B0838">
        <w:rPr>
          <w:rFonts w:ascii="Calibri" w:hAnsi="Calibri" w:cs="Calibri"/>
        </w:rPr>
        <w:t>(ACOG 2015)</w:t>
      </w:r>
      <w:r w:rsidR="009B0838">
        <w:fldChar w:fldCharType="end"/>
      </w:r>
      <w:r w:rsidR="009B0838">
        <w:t>.</w:t>
      </w:r>
      <w:r w:rsidR="007552A0">
        <w:t xml:space="preserve">  Various</w:t>
      </w:r>
      <w:r w:rsidR="00E91439">
        <w:t xml:space="preserve"> examples abound in the literature on the relationship of age at menarche to </w:t>
      </w:r>
      <w:r>
        <w:t xml:space="preserve">menstrual pain/side effects </w:t>
      </w:r>
      <w:r>
        <w:fldChar w:fldCharType="begin"/>
      </w:r>
      <w:r>
        <w:instrText xml:space="preserve"> ADDIN ZOTERO_ITEM CSL_CITATION {"citationID":"xxlqqPkA","properties":{"formattedCitation":"(Ameade and Garti 2016)","plainCitation":"(Ameade and Garti 2016)","noteIndex":0},"citationItems":[{"id":56,"uris":["http://zotero.org/users/4988819/items/ICAEJV7K"],"uri":["http://zotero.org/users/4988819/items/ICAEJV7K"],"itemData":{"id":56,"type":"article-journal","title":"Age at Menarche and Factors that Influence It: A Study among Female University Students in Tamale, Northern Ghana","container-title":"PLoS ONE","volume":"11","issue":"5","source":"PubMed Central","abstract":"Introduction\nAge at menarche reflects the health status of a population. This marks the beginning of sexual maturation and is affected by nutritional status and prevailing environmental conditions. This study measured the menarcheal age of female undergraduate students in northern Ghana and explored factors that could impact on the onset of menarche.\n\nMethod\nGraphPad 5.01 was used to analyze data collected from 293 randomly selected female university students in a cross-sectional study using a semi-structured questionnaire. Association between different variables was tested using appropriate statistical tests.\n\nResults\nThe mean recall age at menarche of participants in this study was 13.66 ±1.87 years for a female population of mean age, 23.04±5.07 years. Compared to female students who lived in rural settings, urban and suburban areas dwellers significantly recorded earlier menarche (p = 0.0006). Again, females from high income earning families experienced menarche earlier than those who were born to or lived with lower income earners (p = 0.003). Lower menarcheal age increased risk of experiencing menstrual pain prior to menses rather than during menstrual flow for dysmenorrhic females. (13.52±2.052 vrs 13.63±1.582 year; χ2 = 7.181, df = 2, p = 0.028).\n\nConclusion\nMean menarcheal age of female university students in northern Ghana was 13.66 years. Females from urban areas and high income families had earlier menarche. Compared to the very first Ghanaian study reported in 1989, the menarcheal age decline was 0.11 year per decade.","URL":"https://www.ncbi.nlm.nih.gov/pmc/articles/PMC4865110/","DOI":"10.1371/journal.pone.0155310","ISSN":"1932-6203","note":"PMID: 27171234\nPMCID: PMC4865110","shortTitle":"Age at Menarche and Factors that Influence It","journalAbbreviation":"PLoS One","author":[{"family":"Ameade","given":"Evans Paul Kwame"},{"family":"Garti","given":"Helene Akpene"}],"issued":{"date-parts":[["2016",5,12]]},"accessed":{"date-parts":[["2019",3,7]]}}}],"schema":"https://github.com/citation-style-language/schema/raw/master/csl-citation.json"} </w:instrText>
      </w:r>
      <w:r>
        <w:fldChar w:fldCharType="separate"/>
      </w:r>
      <w:r w:rsidRPr="002D52D6">
        <w:rPr>
          <w:rFonts w:ascii="Calibri" w:hAnsi="Calibri" w:cs="Calibri"/>
        </w:rPr>
        <w:t>(Ameade and Garti 2016)</w:t>
      </w:r>
      <w:r>
        <w:fldChar w:fldCharType="end"/>
      </w:r>
      <w:r>
        <w:t xml:space="preserve">, BMI </w:t>
      </w:r>
      <w:r>
        <w:fldChar w:fldCharType="begin"/>
      </w:r>
      <w:r>
        <w:instrText xml:space="preserve"> ADDIN ZOTERO_ITEM CSL_CITATION {"citationID":"5Mgig2ra","properties":{"formattedCitation":"(Yermachenko and Dvornyk 2014)","plainCitation":"(Yermachenko and Dvornyk 2014)","noteIndex":0},"citationItems":[{"id":59,"uris":["http://zotero.org/users/4988819/items/3ZKJDW8Q"],"uri":["http://zotero.org/users/4988819/items/3ZKJDW8Q"],"itemData":{"id":59,"type":"webpage","title":"Nongenetic Determinants of Age at Menarche: A Systematic Review","container-title":"BioMed Research International","genre":"Research article","abstract":"Background. The acceleration of pubertal development is an important medical and social problem, as it may result in increased morbidity and mortality in later life. This systematic review summarizes relevant data about nongenetic factors, which contribute to age at menarche (AAM), and suggests those which may be the most important. Methods. The available literature from 1980 till July 2013 was searched using PubMed and Google Scholar databases. Finally, 154 papers were selected for the analysis. Results. Environmental factors, which may affect AAM, vary in populations of different ethnicity. The prenatal, infancy, and early childhood periods are the most susceptible to these factors. Body weight, high animal protein intake, family stressors (e.g., single parenting), and physical activity seem to influence AAM in most populations. Conclusions. The data about influence of nongenetic factors on AAM are still inconsistent. The factors affecting prenatal and early childhood growth seem to have a larger effect on further sexual maturation. Further studies are needed in order to validate the association between other environmental determinants and AAM in different ethnical groups.","URL":"https://www.hindawi.com/journals/bmri/2014/371583/","note":"PMID: 25050345\nDOI: 10.1155/2014/371583","shortTitle":"Nongenetic Determinants of Age at Menarche","language":"en","author":[{"family":"Yermachenko","given":"Anna"},{"family":"Dvornyk","given":"Volodymyr"}],"issued":{"date-parts":[["2014"]]},"accessed":{"date-parts":[["2019",3,7]]}}}],"schema":"https://github.com/citation-style-language/schema/raw/master/csl-citation.json"} </w:instrText>
      </w:r>
      <w:r>
        <w:fldChar w:fldCharType="separate"/>
      </w:r>
      <w:r w:rsidRPr="002D52D6">
        <w:rPr>
          <w:rFonts w:ascii="Calibri" w:hAnsi="Calibri" w:cs="Calibri"/>
        </w:rPr>
        <w:t>(Yermachenko and Dvornyk 2014)</w:t>
      </w:r>
      <w:r>
        <w:fldChar w:fldCharType="end"/>
      </w:r>
      <w:r>
        <w:t xml:space="preserve">, increased risk of preeclampsia </w:t>
      </w:r>
      <w:r>
        <w:fldChar w:fldCharType="begin"/>
      </w:r>
      <w:r>
        <w:instrText xml:space="preserve"> ADDIN ZOTERO_ITEM CSL_CITATION {"citationID":"cAEHL1ZB","properties":{"formattedCitation":"(Abetew et al. 2011)","plainCitation":"(Abetew et al. 2011)","noteIndex":0},"citationItems":[{"id":52,"uris":["http://zotero.org/users/4988819/items/D6NPSYZC"],"uri":["http://zotero.org/users/4988819/items/D6NPSYZC"],"itemData":{"id":52,"type":"webpage","title":"Age at Menarche, Menstrual Characteristics, and Risk of Preeclampsia","container-title":"International Scholarly Research Notices","genre":"Research article","abstract":"We examined associations of age at menarche and menstrual characteristics with the risk of preeclampsia among participants (</w:instrText>
      </w:r>
      <w:r>
        <w:rPr>
          <w:rFonts w:ascii="Cambria Math" w:hAnsi="Cambria Math" w:cs="Cambria Math"/>
        </w:rPr>
        <w:instrText>𝑛</w:instrText>
      </w:r>
      <w:r>
        <w:instrText>=3,365) of a pregnancy cohort study. Data were collected using in-person interviews and medical record abstraction. Logistic regression was used to estimate adjusted odds ratio (OR) and 95% confidence interval (95% CI). There was a significant inverse association between age at menarche and risk of preeclampsia (</w:instrText>
      </w:r>
      <w:r>
        <w:rPr>
          <w:rFonts w:ascii="Cambria Math" w:hAnsi="Cambria Math" w:cs="Cambria Math"/>
        </w:rPr>
        <w:instrText>𝑃</w:instrText>
      </w:r>
      <w:r>
        <w:instrText xml:space="preserve"> value for trend &lt; 0.05). Association of long cycle length (&gt;36 days) with higher risk of preeclampsia was present only among women who had prepregnancy body mass index &lt;25 kg/m2 (interaction </w:instrText>
      </w:r>
      <w:r>
        <w:rPr>
          <w:rFonts w:ascii="Cambria Math" w:hAnsi="Cambria Math" w:cs="Cambria Math"/>
        </w:rPr>
        <w:instrText>𝑃</w:instrText>
      </w:r>
      <w:r>
        <w:instrText xml:space="preserve"> value = 0.04). Early menarche is associated with higher risk of preeclampsia. Prepregnancy weight may modify associations of long menstrual cycles with risk of preeclampsia.","URL":"https://www.hindawi.com/journals/isrn/2011/472083/","note":"PMID: 22263114\nDOI: 10.5402/2011/472083","language":"en","author":[{"family":"Abetew","given":"Dejene F."},{"family":"Enquobahrie","given":"Daniel A."},{"family":"Dishi","given":"Michal"},{"family":"Rudra","given":"Carole B."},{"family":"Miller","given":"Raymond S."},{"family":"Williams","given":"Michelle A."}],"issued":{"date-parts":[["2011"]]},"accessed":{"date-parts":[["2019",3,7]]}}}],"schema":"https://github.com/citation-style-language/schema/raw/master/csl-citation.json"} </w:instrText>
      </w:r>
      <w:r>
        <w:fldChar w:fldCharType="separate"/>
      </w:r>
      <w:r w:rsidRPr="002D52D6">
        <w:rPr>
          <w:rFonts w:ascii="Calibri" w:hAnsi="Calibri" w:cs="Calibri"/>
        </w:rPr>
        <w:t>(Abetew et al. 2011)</w:t>
      </w:r>
      <w:r>
        <w:fldChar w:fldCharType="end"/>
      </w:r>
      <w:r w:rsidR="00E91439">
        <w:t>, and all-cause mortality (Jacobson, Heuch and Kvale 2007)</w:t>
      </w:r>
      <w:r>
        <w:t xml:space="preserve"> to name a few. </w:t>
      </w:r>
      <w:r w:rsidR="00E91439">
        <w:t xml:space="preserve"> Age at menarche also provides important contextual information to other elements of women</w:t>
      </w:r>
      <w:r w:rsidR="00726F5E">
        <w:t>’s</w:t>
      </w:r>
      <w:r w:rsidR="00E91439">
        <w:t xml:space="preserve"> and girls’ lives, including school attainment</w:t>
      </w:r>
      <w:r w:rsidR="001A54DE">
        <w:t xml:space="preserve"> and</w:t>
      </w:r>
      <w:r w:rsidR="00E91439">
        <w:t xml:space="preserve"> early marriage</w:t>
      </w:r>
      <w:r w:rsidR="001A54DE">
        <w:t xml:space="preserve"> (Glynn et. al. 2010)</w:t>
      </w:r>
      <w:r w:rsidR="00E91439">
        <w:t xml:space="preserve">, childhood abuse (Boynton-Jarett et al. 2012), and more. </w:t>
      </w:r>
      <w:r>
        <w:t>Given the focus of</w:t>
      </w:r>
      <w:r w:rsidR="001A54DE">
        <w:t xml:space="preserve"> health and development communities </w:t>
      </w:r>
      <w:r>
        <w:t xml:space="preserve">on youth, age at menarche is an important consideration along with initiation of sexual activity, child marriage (since </w:t>
      </w:r>
      <w:r w:rsidR="00726F5E">
        <w:t>menarche</w:t>
      </w:r>
      <w:r>
        <w:t xml:space="preserve"> is a signal in many cultures of a girl reaching “marriageable age”) </w:t>
      </w:r>
      <w:r w:rsidR="007552A0">
        <w:t>and more.</w:t>
      </w:r>
      <w:r>
        <w:t xml:space="preserve"> </w:t>
      </w:r>
      <w:r w:rsidR="00726F5E">
        <w:t xml:space="preserve"> </w:t>
      </w:r>
      <w:r w:rsidR="001A54DE">
        <w:t>Further, i</w:t>
      </w:r>
      <w:r>
        <w:t xml:space="preserve">t is important to holistically understand </w:t>
      </w:r>
      <w:r w:rsidR="007552A0">
        <w:t>the reproductive lives of women and girls, particularly</w:t>
      </w:r>
      <w:r>
        <w:t xml:space="preserve"> adolescents</w:t>
      </w:r>
      <w:r w:rsidR="007552A0">
        <w:t xml:space="preserve"> and </w:t>
      </w:r>
      <w:r>
        <w:t>teenage girls</w:t>
      </w:r>
      <w:r w:rsidR="00726F5E">
        <w:t>;</w:t>
      </w:r>
      <w:r w:rsidR="001A54DE">
        <w:t xml:space="preserve"> since DHS is a key survey of reproductive health, this information should be readily available for all DHS surveys.</w:t>
      </w:r>
    </w:p>
    <w:p w14:paraId="32384D19" w14:textId="34F283C3" w:rsidR="002B0295" w:rsidRPr="002B0295" w:rsidRDefault="002B0295" w:rsidP="001E73BD">
      <w:pPr>
        <w:rPr>
          <w:b/>
        </w:rPr>
      </w:pPr>
      <w:r w:rsidRPr="002B0295">
        <w:rPr>
          <w:b/>
        </w:rPr>
        <w:t>REFERENCES</w:t>
      </w:r>
    </w:p>
    <w:p w14:paraId="193FA751" w14:textId="77777777" w:rsidR="009B0838" w:rsidRPr="009B0838" w:rsidRDefault="002B0295" w:rsidP="009B0838">
      <w:pPr>
        <w:pStyle w:val="Bibliography"/>
        <w:rPr>
          <w:rFonts w:ascii="Calibri" w:hAnsi="Calibri" w:cs="Calibri"/>
        </w:rPr>
      </w:pPr>
      <w:r>
        <w:fldChar w:fldCharType="begin"/>
      </w:r>
      <w:r w:rsidR="009B0838">
        <w:instrText xml:space="preserve"> ADDIN ZOTERO_BIBL {"uncited":[],"omitted":[],"custom":[]} CSL_BIBLIOGRAPHY </w:instrText>
      </w:r>
      <w:r>
        <w:fldChar w:fldCharType="separate"/>
      </w:r>
      <w:r w:rsidR="009B0838" w:rsidRPr="009B0838">
        <w:rPr>
          <w:rFonts w:ascii="Calibri" w:hAnsi="Calibri" w:cs="Calibri"/>
        </w:rPr>
        <w:t xml:space="preserve">Abetew, Dejene F., Daniel A. Enquobahrie, Michal Dishi, Carole B. Rudra, Raymond S. Miller, and Michelle A. Williams. 2011. “Age at Menarche, Menstrual Characteristics, and Risk of </w:t>
      </w:r>
      <w:r w:rsidR="009B0838" w:rsidRPr="009B0838">
        <w:rPr>
          <w:rFonts w:ascii="Calibri" w:hAnsi="Calibri" w:cs="Calibri"/>
        </w:rPr>
        <w:lastRenderedPageBreak/>
        <w:t xml:space="preserve">Preeclampsia.” </w:t>
      </w:r>
      <w:r w:rsidR="009B0838" w:rsidRPr="009B0838">
        <w:rPr>
          <w:rFonts w:ascii="Calibri" w:hAnsi="Calibri" w:cs="Calibri"/>
          <w:i/>
          <w:iCs/>
        </w:rPr>
        <w:t>International Scholarly Research Notices</w:t>
      </w:r>
      <w:r w:rsidR="009B0838" w:rsidRPr="009B0838">
        <w:rPr>
          <w:rFonts w:ascii="Calibri" w:hAnsi="Calibri" w:cs="Calibri"/>
        </w:rPr>
        <w:t>. Retrieved March 7, 2019 (https://www.hindawi.com/journals/isrn/2011/472083/).</w:t>
      </w:r>
    </w:p>
    <w:p w14:paraId="3A027F48" w14:textId="59336212" w:rsidR="009B0838" w:rsidRPr="009B0838" w:rsidRDefault="009B0838" w:rsidP="009B0838">
      <w:pPr>
        <w:pStyle w:val="Bibliography"/>
        <w:rPr>
          <w:rFonts w:ascii="Calibri" w:hAnsi="Calibri" w:cs="Calibri"/>
        </w:rPr>
      </w:pPr>
      <w:r w:rsidRPr="009B0838">
        <w:rPr>
          <w:rFonts w:ascii="Calibri" w:hAnsi="Calibri" w:cs="Calibri"/>
        </w:rPr>
        <w:t xml:space="preserve">Ameade, Evans Paul Kwame and Helene Akpene Garti. 2016. “Age at Menarche and Factors That Influence It: A Study among Female University Students in Tamale, Northern Ghana.” </w:t>
      </w:r>
      <w:r w:rsidRPr="009B0838">
        <w:rPr>
          <w:rFonts w:ascii="Calibri" w:hAnsi="Calibri" w:cs="Calibri"/>
          <w:i/>
          <w:iCs/>
        </w:rPr>
        <w:t>PLoS ONE</w:t>
      </w:r>
      <w:r w:rsidR="008B5DEB">
        <w:rPr>
          <w:rFonts w:ascii="Calibri" w:hAnsi="Calibri" w:cs="Calibri"/>
          <w:i/>
          <w:iCs/>
        </w:rPr>
        <w:t>.</w:t>
      </w:r>
      <w:r w:rsidRPr="009B0838">
        <w:rPr>
          <w:rFonts w:ascii="Calibri" w:hAnsi="Calibri" w:cs="Calibri"/>
        </w:rPr>
        <w:t xml:space="preserve"> 11(5).</w:t>
      </w:r>
    </w:p>
    <w:p w14:paraId="0CD9B11F" w14:textId="77777777" w:rsidR="009B0838" w:rsidRPr="009B0838" w:rsidRDefault="009B0838" w:rsidP="009B0838">
      <w:pPr>
        <w:pStyle w:val="Bibliography"/>
        <w:rPr>
          <w:rFonts w:ascii="Calibri" w:hAnsi="Calibri" w:cs="Calibri"/>
        </w:rPr>
      </w:pPr>
      <w:r w:rsidRPr="009B0838">
        <w:rPr>
          <w:rFonts w:ascii="Calibri" w:hAnsi="Calibri" w:cs="Calibri"/>
        </w:rPr>
        <w:t>ACOG. 2015. “Menstruation in Girls and Adolescents: Using the Menstrual Cycle as a Vital Sign - ACOG.” Retrieved March 7, 2019 (https://www.acog.org/Clinical-Guidance-and-Publications/Committee-Opinions/Committee-on-Adolescent-Health-Care/Menstruation-in-Girls-and-Adolescents-Using-the-Menstrual-Cycle-as-a-Vital-Sign?IsMobileSet=false).</w:t>
      </w:r>
    </w:p>
    <w:p w14:paraId="4114BF15" w14:textId="65751F01" w:rsidR="00E91439" w:rsidRDefault="00E91439" w:rsidP="009B0838">
      <w:pPr>
        <w:pStyle w:val="Bibliography"/>
        <w:rPr>
          <w:rFonts w:ascii="Calibri" w:hAnsi="Calibri" w:cs="Calibri"/>
        </w:rPr>
      </w:pPr>
      <w:r>
        <w:rPr>
          <w:rFonts w:ascii="Calibri" w:hAnsi="Calibri" w:cs="Calibri"/>
        </w:rPr>
        <w:t xml:space="preserve">Boynton-Jarett R. et. al. </w:t>
      </w:r>
      <w:r w:rsidR="00940953">
        <w:rPr>
          <w:rFonts w:ascii="Calibri" w:hAnsi="Calibri" w:cs="Calibri"/>
        </w:rPr>
        <w:t>"</w:t>
      </w:r>
      <w:r>
        <w:rPr>
          <w:rFonts w:ascii="Calibri" w:hAnsi="Calibri" w:cs="Calibri"/>
        </w:rPr>
        <w:t>Childhood abuse and age at menarche.</w:t>
      </w:r>
      <w:r w:rsidR="00940953">
        <w:rPr>
          <w:rFonts w:ascii="Calibri" w:hAnsi="Calibri" w:cs="Calibri"/>
        </w:rPr>
        <w:t>"</w:t>
      </w:r>
      <w:r>
        <w:rPr>
          <w:rFonts w:ascii="Calibri" w:hAnsi="Calibri" w:cs="Calibri"/>
        </w:rPr>
        <w:t xml:space="preserve"> </w:t>
      </w:r>
      <w:r w:rsidRPr="00DD1C47">
        <w:rPr>
          <w:rFonts w:ascii="Calibri" w:hAnsi="Calibri" w:cs="Calibri"/>
          <w:i/>
        </w:rPr>
        <w:t>Journal of Adolescent Health</w:t>
      </w:r>
      <w:r w:rsidR="008B5DEB">
        <w:rPr>
          <w:rFonts w:ascii="Calibri" w:hAnsi="Calibri" w:cs="Calibri"/>
          <w:i/>
        </w:rPr>
        <w:t>.</w:t>
      </w:r>
      <w:r>
        <w:rPr>
          <w:rFonts w:ascii="Calibri" w:hAnsi="Calibri" w:cs="Calibri"/>
        </w:rPr>
        <w:t xml:space="preserve"> 2013;52(2):241-247.</w:t>
      </w:r>
    </w:p>
    <w:p w14:paraId="75D803B2" w14:textId="6B70E7AF" w:rsidR="001A54DE" w:rsidRPr="00DD1C47" w:rsidRDefault="001A54DE" w:rsidP="00DD1C47">
      <w:pPr>
        <w:pStyle w:val="Bibliography"/>
        <w:rPr>
          <w:rFonts w:ascii="Calibri" w:hAnsi="Calibri" w:cs="Calibri"/>
        </w:rPr>
      </w:pPr>
      <w:r w:rsidRPr="00DD1C47">
        <w:rPr>
          <w:rFonts w:ascii="Calibri" w:hAnsi="Calibri" w:cs="Calibri"/>
        </w:rPr>
        <w:t xml:space="preserve">Glynn JR et. al. </w:t>
      </w:r>
      <w:r w:rsidR="00940953">
        <w:rPr>
          <w:rFonts w:ascii="Calibri" w:hAnsi="Calibri" w:cs="Calibri"/>
        </w:rPr>
        <w:t>"</w:t>
      </w:r>
      <w:r w:rsidRPr="00DD1C47">
        <w:rPr>
          <w:rFonts w:ascii="Calibri" w:hAnsi="Calibri" w:cs="Calibri"/>
        </w:rPr>
        <w:t>Age at menarche, schooling, and sexual debut in northern Malawi.</w:t>
      </w:r>
      <w:r w:rsidR="00940953">
        <w:rPr>
          <w:rFonts w:ascii="Calibri" w:hAnsi="Calibri" w:cs="Calibri"/>
        </w:rPr>
        <w:t>"</w:t>
      </w:r>
      <w:r>
        <w:rPr>
          <w:rFonts w:ascii="Calibri" w:hAnsi="Calibri" w:cs="Calibri"/>
        </w:rPr>
        <w:t xml:space="preserve"> </w:t>
      </w:r>
      <w:r w:rsidRPr="00DD1C47">
        <w:rPr>
          <w:rFonts w:ascii="Calibri" w:hAnsi="Calibri" w:cs="Calibri"/>
          <w:i/>
        </w:rPr>
        <w:t>PLoS ONE</w:t>
      </w:r>
      <w:r w:rsidR="008B5DEB">
        <w:rPr>
          <w:rFonts w:ascii="Calibri" w:hAnsi="Calibri" w:cs="Calibri"/>
          <w:i/>
        </w:rPr>
        <w:t>.</w:t>
      </w:r>
      <w:r>
        <w:rPr>
          <w:rFonts w:ascii="Calibri" w:hAnsi="Calibri" w:cs="Calibri"/>
        </w:rPr>
        <w:t xml:space="preserve"> 2010;5(12)</w:t>
      </w:r>
      <w:r w:rsidRPr="00DD1C47">
        <w:rPr>
          <w:rFonts w:ascii="Calibri" w:hAnsi="Calibri" w:cs="Calibri"/>
        </w:rPr>
        <w:t>:e15334</w:t>
      </w:r>
    </w:p>
    <w:p w14:paraId="441EC4F4" w14:textId="565A2FDE" w:rsidR="00E91439" w:rsidRPr="000127D8" w:rsidRDefault="00E91439">
      <w:pPr>
        <w:pStyle w:val="Bibliography"/>
        <w:rPr>
          <w:rFonts w:ascii="Calibri" w:hAnsi="Calibri" w:cs="Calibri"/>
        </w:rPr>
      </w:pPr>
      <w:r w:rsidRPr="00DD1C47">
        <w:rPr>
          <w:rFonts w:ascii="Calibri" w:hAnsi="Calibri" w:cs="Calibri"/>
        </w:rPr>
        <w:t xml:space="preserve">Jacobsen BK, Heuch I, Kvale G. </w:t>
      </w:r>
      <w:r w:rsidR="00940953">
        <w:rPr>
          <w:rFonts w:ascii="Calibri" w:hAnsi="Calibri" w:cs="Calibri"/>
        </w:rPr>
        <w:t>"</w:t>
      </w:r>
      <w:r w:rsidRPr="00DD1C47">
        <w:rPr>
          <w:rFonts w:ascii="Calibri" w:hAnsi="Calibri" w:cs="Calibri"/>
        </w:rPr>
        <w:t>Association of low age at menarche with increased all-cause mortality: a 37-year follow-up of 61,319 Norwegian women.</w:t>
      </w:r>
      <w:r w:rsidR="00940953">
        <w:rPr>
          <w:rFonts w:ascii="Calibri" w:hAnsi="Calibri" w:cs="Calibri"/>
        </w:rPr>
        <w:t>"</w:t>
      </w:r>
      <w:r w:rsidRPr="00DD1C47">
        <w:rPr>
          <w:rFonts w:ascii="Calibri" w:hAnsi="Calibri" w:cs="Calibri"/>
        </w:rPr>
        <w:t> </w:t>
      </w:r>
      <w:r w:rsidRPr="00DD1C47">
        <w:rPr>
          <w:rFonts w:ascii="Calibri" w:hAnsi="Calibri" w:cs="Calibri"/>
          <w:i/>
        </w:rPr>
        <w:t>Am J Epidemiol. </w:t>
      </w:r>
      <w:r w:rsidRPr="00DD1C47">
        <w:rPr>
          <w:rFonts w:ascii="Calibri" w:hAnsi="Calibri" w:cs="Calibri"/>
        </w:rPr>
        <w:t>2007;166(12):1431–7.</w:t>
      </w:r>
    </w:p>
    <w:p w14:paraId="42654612" w14:textId="75919CF3" w:rsidR="00726F5E" w:rsidRDefault="00726F5E" w:rsidP="009B0838">
      <w:pPr>
        <w:pStyle w:val="Bibliography"/>
        <w:rPr>
          <w:rFonts w:ascii="Calibri" w:hAnsi="Calibri" w:cs="Calibri"/>
        </w:rPr>
      </w:pPr>
      <w:r w:rsidRPr="00726F5E">
        <w:rPr>
          <w:rFonts w:ascii="Calibri" w:hAnsi="Calibri" w:cs="Calibri"/>
        </w:rPr>
        <w:t>Philippine Statistics Authority (PSA) and ICF. 2018. Philippines National Demographic and Health Survey 2017. Quezon City, Philippines, and Rockville, Maryland, USA: PSA and ICF.</w:t>
      </w:r>
    </w:p>
    <w:p w14:paraId="166C9C13" w14:textId="60EB61D3" w:rsidR="009B0838" w:rsidRPr="009B0838" w:rsidRDefault="009B0838" w:rsidP="009B0838">
      <w:pPr>
        <w:pStyle w:val="Bibliography"/>
        <w:rPr>
          <w:rFonts w:ascii="Calibri" w:hAnsi="Calibri" w:cs="Calibri"/>
        </w:rPr>
      </w:pPr>
      <w:r w:rsidRPr="009B0838">
        <w:rPr>
          <w:rFonts w:ascii="Calibri" w:hAnsi="Calibri" w:cs="Calibri"/>
        </w:rPr>
        <w:t xml:space="preserve">Yermachenko, Anna and Volodymyr Dvornyk. 2014. “Nongenetic Determinants of Age at Menarche: A Systematic Review.” </w:t>
      </w:r>
      <w:r w:rsidRPr="009B0838">
        <w:rPr>
          <w:rFonts w:ascii="Calibri" w:hAnsi="Calibri" w:cs="Calibri"/>
          <w:i/>
          <w:iCs/>
        </w:rPr>
        <w:t>BioMed Research International</w:t>
      </w:r>
      <w:r w:rsidRPr="009B0838">
        <w:rPr>
          <w:rFonts w:ascii="Calibri" w:hAnsi="Calibri" w:cs="Calibri"/>
        </w:rPr>
        <w:t>. Retrieved March 7, 2019 (https://www.hindawi.com/journals/bmri/2014/371583/).</w:t>
      </w:r>
    </w:p>
    <w:p w14:paraId="4F737C3D" w14:textId="5FAC4603" w:rsidR="002B0295" w:rsidRPr="00FC2ECE" w:rsidRDefault="002B0295" w:rsidP="001E73BD">
      <w:r>
        <w:fldChar w:fldCharType="end"/>
      </w:r>
    </w:p>
    <w:sectPr w:rsidR="002B0295" w:rsidRPr="00FC2ECE" w:rsidSect="00034FA5">
      <w:footerReference w:type="default" r:id="rId12"/>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0B40D" w14:textId="77777777" w:rsidR="00E068A5" w:rsidRDefault="00E068A5" w:rsidP="00034FA5">
      <w:pPr>
        <w:spacing w:after="0" w:line="240" w:lineRule="auto"/>
      </w:pPr>
      <w:r>
        <w:separator/>
      </w:r>
    </w:p>
  </w:endnote>
  <w:endnote w:type="continuationSeparator" w:id="0">
    <w:p w14:paraId="3F2C3142" w14:textId="77777777" w:rsidR="00E068A5" w:rsidRDefault="00E068A5"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8DFA" w14:textId="1A43BBCA" w:rsidR="00034FA5" w:rsidRDefault="00034FA5">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30D0">
          <w:rPr>
            <w:noProof/>
          </w:rPr>
          <w:t>1</w:t>
        </w:r>
        <w:r>
          <w:rPr>
            <w:noProof/>
          </w:rPr>
          <w:fldChar w:fldCharType="end"/>
        </w:r>
        <w:r w:rsidR="00C551ED">
          <w:rPr>
            <w:noProof/>
          </w:rPr>
          <w:t xml:space="preserve"> of </w:t>
        </w:r>
        <w:r w:rsidR="00C551ED">
          <w:rPr>
            <w:noProof/>
          </w:rPr>
          <w:fldChar w:fldCharType="begin"/>
        </w:r>
        <w:r w:rsidR="00C551ED">
          <w:rPr>
            <w:noProof/>
          </w:rPr>
          <w:instrText xml:space="preserve"> NUMPAGES   \* MERGEFORMAT </w:instrText>
        </w:r>
        <w:r w:rsidR="00C551ED">
          <w:rPr>
            <w:noProof/>
          </w:rPr>
          <w:fldChar w:fldCharType="separate"/>
        </w:r>
        <w:r w:rsidR="008A30D0">
          <w:rPr>
            <w:noProof/>
          </w:rPr>
          <w:t>4</w:t>
        </w:r>
        <w:r w:rsidR="00C551ED">
          <w:rPr>
            <w:noProof/>
          </w:rPr>
          <w:fldChar w:fldCharType="end"/>
        </w:r>
      </w:sdtContent>
    </w:sdt>
  </w:p>
  <w:p w14:paraId="509E4961" w14:textId="223D8C85" w:rsidR="00034FA5" w:rsidRDefault="00034FA5" w:rsidP="00034F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C6A19" w14:textId="77777777" w:rsidR="00E068A5" w:rsidRDefault="00E068A5" w:rsidP="00034FA5">
      <w:pPr>
        <w:spacing w:after="0" w:line="240" w:lineRule="auto"/>
      </w:pPr>
      <w:r>
        <w:separator/>
      </w:r>
    </w:p>
  </w:footnote>
  <w:footnote w:type="continuationSeparator" w:id="0">
    <w:p w14:paraId="18059607" w14:textId="77777777" w:rsidR="00E068A5" w:rsidRDefault="00E068A5" w:rsidP="00034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0"/>
  </w:num>
  <w:num w:numId="4">
    <w:abstractNumId w:val="9"/>
  </w:num>
  <w:num w:numId="5">
    <w:abstractNumId w:val="17"/>
  </w:num>
  <w:num w:numId="6">
    <w:abstractNumId w:val="3"/>
  </w:num>
  <w:num w:numId="7">
    <w:abstractNumId w:val="7"/>
  </w:num>
  <w:num w:numId="8">
    <w:abstractNumId w:val="15"/>
  </w:num>
  <w:num w:numId="9">
    <w:abstractNumId w:val="22"/>
  </w:num>
  <w:num w:numId="10">
    <w:abstractNumId w:val="2"/>
  </w:num>
  <w:num w:numId="11">
    <w:abstractNumId w:val="23"/>
  </w:num>
  <w:num w:numId="12">
    <w:abstractNumId w:val="24"/>
  </w:num>
  <w:num w:numId="13">
    <w:abstractNumId w:val="13"/>
  </w:num>
  <w:num w:numId="14">
    <w:abstractNumId w:val="4"/>
  </w:num>
  <w:num w:numId="15">
    <w:abstractNumId w:val="20"/>
  </w:num>
  <w:num w:numId="16">
    <w:abstractNumId w:val="12"/>
  </w:num>
  <w:num w:numId="17">
    <w:abstractNumId w:val="16"/>
  </w:num>
  <w:num w:numId="18">
    <w:abstractNumId w:val="0"/>
  </w:num>
  <w:num w:numId="19">
    <w:abstractNumId w:val="8"/>
  </w:num>
  <w:num w:numId="20">
    <w:abstractNumId w:val="6"/>
  </w:num>
  <w:num w:numId="21">
    <w:abstractNumId w:val="5"/>
  </w:num>
  <w:num w:numId="22">
    <w:abstractNumId w:val="18"/>
  </w:num>
  <w:num w:numId="23">
    <w:abstractNumId w:val="14"/>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CE"/>
    <w:rsid w:val="00006877"/>
    <w:rsid w:val="000127D8"/>
    <w:rsid w:val="000278F5"/>
    <w:rsid w:val="00034FA5"/>
    <w:rsid w:val="000763CC"/>
    <w:rsid w:val="00082244"/>
    <w:rsid w:val="000B2790"/>
    <w:rsid w:val="000E1EC7"/>
    <w:rsid w:val="00103EE0"/>
    <w:rsid w:val="00105BDB"/>
    <w:rsid w:val="0011742D"/>
    <w:rsid w:val="00123FA0"/>
    <w:rsid w:val="001A54DE"/>
    <w:rsid w:val="001C34C8"/>
    <w:rsid w:val="001E73BD"/>
    <w:rsid w:val="00207E3B"/>
    <w:rsid w:val="00220325"/>
    <w:rsid w:val="0022159F"/>
    <w:rsid w:val="00244D2F"/>
    <w:rsid w:val="00264A83"/>
    <w:rsid w:val="00282253"/>
    <w:rsid w:val="002A32F0"/>
    <w:rsid w:val="002B0295"/>
    <w:rsid w:val="002B12C1"/>
    <w:rsid w:val="002D52D6"/>
    <w:rsid w:val="003528E7"/>
    <w:rsid w:val="00380969"/>
    <w:rsid w:val="00383E4F"/>
    <w:rsid w:val="003A7733"/>
    <w:rsid w:val="003B03C8"/>
    <w:rsid w:val="003D45B0"/>
    <w:rsid w:val="0040148E"/>
    <w:rsid w:val="00424E6D"/>
    <w:rsid w:val="004F3DF6"/>
    <w:rsid w:val="00510943"/>
    <w:rsid w:val="00566BBC"/>
    <w:rsid w:val="0058090A"/>
    <w:rsid w:val="00614F55"/>
    <w:rsid w:val="0062753F"/>
    <w:rsid w:val="00637ABF"/>
    <w:rsid w:val="0065151E"/>
    <w:rsid w:val="00653055"/>
    <w:rsid w:val="0069638E"/>
    <w:rsid w:val="006A365E"/>
    <w:rsid w:val="006B469E"/>
    <w:rsid w:val="006D6AB2"/>
    <w:rsid w:val="00702693"/>
    <w:rsid w:val="00726F5E"/>
    <w:rsid w:val="00733F87"/>
    <w:rsid w:val="00736F09"/>
    <w:rsid w:val="007510D5"/>
    <w:rsid w:val="007552A0"/>
    <w:rsid w:val="00776B0C"/>
    <w:rsid w:val="0079250A"/>
    <w:rsid w:val="007D3C54"/>
    <w:rsid w:val="00867A85"/>
    <w:rsid w:val="008A0329"/>
    <w:rsid w:val="008A30D0"/>
    <w:rsid w:val="008A5148"/>
    <w:rsid w:val="008A5F92"/>
    <w:rsid w:val="008B5DEB"/>
    <w:rsid w:val="008C68F9"/>
    <w:rsid w:val="008D519B"/>
    <w:rsid w:val="008E4646"/>
    <w:rsid w:val="00911980"/>
    <w:rsid w:val="00911C8F"/>
    <w:rsid w:val="00940694"/>
    <w:rsid w:val="00940953"/>
    <w:rsid w:val="00950074"/>
    <w:rsid w:val="009679CF"/>
    <w:rsid w:val="00980229"/>
    <w:rsid w:val="009854DE"/>
    <w:rsid w:val="00987251"/>
    <w:rsid w:val="009B0838"/>
    <w:rsid w:val="009D1D04"/>
    <w:rsid w:val="009F1DB3"/>
    <w:rsid w:val="00A0288A"/>
    <w:rsid w:val="00A10C26"/>
    <w:rsid w:val="00A50F80"/>
    <w:rsid w:val="00A65027"/>
    <w:rsid w:val="00A67ECE"/>
    <w:rsid w:val="00A916C6"/>
    <w:rsid w:val="00AA1C8C"/>
    <w:rsid w:val="00AE3A24"/>
    <w:rsid w:val="00AE5206"/>
    <w:rsid w:val="00AF1F6A"/>
    <w:rsid w:val="00B01ED7"/>
    <w:rsid w:val="00B65DEC"/>
    <w:rsid w:val="00B71A43"/>
    <w:rsid w:val="00B816BC"/>
    <w:rsid w:val="00B96B5C"/>
    <w:rsid w:val="00BD0713"/>
    <w:rsid w:val="00BE4C32"/>
    <w:rsid w:val="00BF4DFF"/>
    <w:rsid w:val="00C01B50"/>
    <w:rsid w:val="00C02557"/>
    <w:rsid w:val="00C420DE"/>
    <w:rsid w:val="00C551ED"/>
    <w:rsid w:val="00C970EB"/>
    <w:rsid w:val="00CB1C12"/>
    <w:rsid w:val="00CE2F0A"/>
    <w:rsid w:val="00CE7635"/>
    <w:rsid w:val="00CE7ABE"/>
    <w:rsid w:val="00D00F57"/>
    <w:rsid w:val="00D15788"/>
    <w:rsid w:val="00D34E2E"/>
    <w:rsid w:val="00D36A1D"/>
    <w:rsid w:val="00D45347"/>
    <w:rsid w:val="00D74094"/>
    <w:rsid w:val="00D749DB"/>
    <w:rsid w:val="00D9355E"/>
    <w:rsid w:val="00DA1513"/>
    <w:rsid w:val="00DB153F"/>
    <w:rsid w:val="00DD1C47"/>
    <w:rsid w:val="00DF00F6"/>
    <w:rsid w:val="00E068A5"/>
    <w:rsid w:val="00E25128"/>
    <w:rsid w:val="00E3695A"/>
    <w:rsid w:val="00E425FF"/>
    <w:rsid w:val="00E42624"/>
    <w:rsid w:val="00E80C15"/>
    <w:rsid w:val="00E91439"/>
    <w:rsid w:val="00E92233"/>
    <w:rsid w:val="00EA2479"/>
    <w:rsid w:val="00EB2F4E"/>
    <w:rsid w:val="00EB47FD"/>
    <w:rsid w:val="00EB609D"/>
    <w:rsid w:val="00ED307C"/>
    <w:rsid w:val="00ED6D89"/>
    <w:rsid w:val="00F1343B"/>
    <w:rsid w:val="00F304C7"/>
    <w:rsid w:val="00FA3266"/>
    <w:rsid w:val="00FA438B"/>
    <w:rsid w:val="00FA4713"/>
    <w:rsid w:val="00FC2ECE"/>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965"/>
  <w15:docId w15:val="{B592DE65-6FD2-4067-9AC8-29B32246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CE"/>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semiHidden/>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semiHidden/>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 w:type="paragraph" w:styleId="Bibliography">
    <w:name w:val="Bibliography"/>
    <w:basedOn w:val="Normal"/>
    <w:next w:val="Normal"/>
    <w:uiPriority w:val="37"/>
    <w:unhideWhenUsed/>
    <w:rsid w:val="002B0295"/>
    <w:pPr>
      <w:spacing w:after="240" w:line="240" w:lineRule="auto"/>
      <w:ind w:left="720" w:hanging="720"/>
    </w:pPr>
  </w:style>
  <w:style w:type="character" w:customStyle="1" w:styleId="ref-journal">
    <w:name w:val="ref-journal"/>
    <w:basedOn w:val="DefaultParagraphFont"/>
    <w:rsid w:val="00E91439"/>
  </w:style>
  <w:style w:type="character" w:customStyle="1" w:styleId="ref-vol">
    <w:name w:val="ref-vol"/>
    <w:basedOn w:val="DefaultParagraphFont"/>
    <w:rsid w:val="00E91439"/>
  </w:style>
  <w:style w:type="character" w:styleId="Hyperlink">
    <w:name w:val="Hyperlink"/>
    <w:basedOn w:val="DefaultParagraphFont"/>
    <w:uiPriority w:val="99"/>
    <w:semiHidden/>
    <w:unhideWhenUsed/>
    <w:rsid w:val="00E91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2255">
      <w:bodyDiv w:val="1"/>
      <w:marLeft w:val="0"/>
      <w:marRight w:val="0"/>
      <w:marTop w:val="0"/>
      <w:marBottom w:val="0"/>
      <w:divBdr>
        <w:top w:val="none" w:sz="0" w:space="0" w:color="auto"/>
        <w:left w:val="none" w:sz="0" w:space="0" w:color="auto"/>
        <w:bottom w:val="none" w:sz="0" w:space="0" w:color="auto"/>
        <w:right w:val="none" w:sz="0" w:space="0" w:color="auto"/>
      </w:divBdr>
    </w:div>
    <w:div w:id="19884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VMX3MACP777Z-2097639089-43</_dlc_DocId>
    <_dlc_DocIdUrl xmlns="d16efad5-0601-4cf0-b7c2-89968258c777">
      <Url>https://icfonline.sharepoint.com/sites/ihd-dhs/DHS8Qredesign/_layouts/15/DocIdRedir.aspx?ID=VMX3MACP777Z-2097639089-43</Url>
      <Description>VMX3MACP777Z-2097639089-43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2.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2BFA1-5983-4416-BC0A-D709CB1137E8}">
  <ds:schemaRefs>
    <ds:schemaRef ds:uri="http://schemas.microsoft.com/office/2006/metadata/properties"/>
    <ds:schemaRef ds:uri="http://schemas.microsoft.com/office/infopath/2007/PartnerControls"/>
    <ds:schemaRef ds:uri="d16efad5-0601-4cf0-b7c2-89968258c777"/>
  </ds:schemaRefs>
</ds:datastoreItem>
</file>

<file path=customXml/itemProps4.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5.xml><?xml version="1.0" encoding="utf-8"?>
<ds:datastoreItem xmlns:ds="http://schemas.openxmlformats.org/officeDocument/2006/customXml" ds:itemID="{D2025A16-AC29-480B-B88A-9DDCCA4E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Fishel, Joy</dc:creator>
  <cp:lastModifiedBy>Apoorva Jadhav</cp:lastModifiedBy>
  <cp:revision>2</cp:revision>
  <dcterms:created xsi:type="dcterms:W3CDTF">2019-03-15T13:11:00Z</dcterms:created>
  <dcterms:modified xsi:type="dcterms:W3CDTF">2019-03-15T13:11:00Z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8dbce2ae-9a44-433b-9767-e215dbbf29da</vt:lpwstr>
  </property>
  <property fmtid="{D5CDD505-2E9C-101B-9397-08002B2CF9AE}" pid="4" name="ZOTERO_PREF_1">
    <vt:lpwstr>&lt;data data-version="3" zotero-version="5.0.60"&gt;&lt;session id="Nzir1Hz0"/&gt;&lt;style id="http://www.zotero.org/styles/american-sociological-association" locale="en-US" hasBibliography="1" bibliographyStyleHasBeenSet="1"/&gt;&lt;prefs&gt;&lt;pref name="fieldType" value="Fiel</vt:lpwstr>
  </property>
  <property fmtid="{D5CDD505-2E9C-101B-9397-08002B2CF9AE}" pid="5" name="ZOTERO_PREF_2">
    <vt:lpwstr>d"/&gt;&lt;pref name="automaticJournalAbbreviations" value="true"/&gt;&lt;/prefs&gt;&lt;/data&gt;</vt:lpwstr>
  </property>
</Properties>
</file>