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EEA3" w14:textId="3E333524" w:rsidR="00FC2ECE" w:rsidRPr="003528E7" w:rsidRDefault="00FC2ECE" w:rsidP="003528E7">
      <w:pPr>
        <w:spacing w:after="0"/>
        <w:jc w:val="center"/>
        <w:rPr>
          <w:b/>
          <w:bCs/>
          <w:sz w:val="28"/>
          <w:szCs w:val="28"/>
        </w:rPr>
      </w:pPr>
      <w:r w:rsidRPr="00987251">
        <w:rPr>
          <w:b/>
          <w:bCs/>
          <w:sz w:val="28"/>
          <w:szCs w:val="28"/>
        </w:rPr>
        <w:t>Template for Requests for Revisions to the DHS Model Questionnaires</w:t>
      </w:r>
      <w:r w:rsidR="003A7733" w:rsidRPr="00987251">
        <w:rPr>
          <w:b/>
          <w:bCs/>
          <w:sz w:val="28"/>
          <w:szCs w:val="28"/>
        </w:rPr>
        <w:t>, Optional Modules</w:t>
      </w:r>
      <w:r w:rsidR="00510943">
        <w:rPr>
          <w:b/>
          <w:bCs/>
          <w:sz w:val="28"/>
          <w:szCs w:val="28"/>
        </w:rPr>
        <w:t xml:space="preserve">, </w:t>
      </w:r>
      <w:r w:rsidR="003A7733" w:rsidRPr="00987251">
        <w:rPr>
          <w:b/>
          <w:bCs/>
          <w:sz w:val="28"/>
          <w:szCs w:val="28"/>
        </w:rPr>
        <w:t>and Biomarkers</w:t>
      </w:r>
      <w:r w:rsidR="003D45B0">
        <w:rPr>
          <w:b/>
          <w:bCs/>
          <w:sz w:val="28"/>
          <w:szCs w:val="28"/>
        </w:rPr>
        <w:t xml:space="preserve"> for DHS-8 (2018-2023)</w:t>
      </w:r>
    </w:p>
    <w:p w14:paraId="4414C99D" w14:textId="77777777" w:rsidR="00FC2ECE" w:rsidRDefault="00FC2ECE" w:rsidP="00FC2ECE"/>
    <w:p w14:paraId="1796389A" w14:textId="02FBAB62" w:rsidR="003A7733" w:rsidRDefault="00BE4C32" w:rsidP="00264A83">
      <w:pPr>
        <w:pStyle w:val="Heading1"/>
        <w:rPr>
          <w:b/>
        </w:rPr>
      </w:pPr>
      <w:r w:rsidRPr="000E1EC7">
        <w:rPr>
          <w:b/>
        </w:rPr>
        <w:t xml:space="preserve">Section I. </w:t>
      </w:r>
      <w:r w:rsidR="003A7733">
        <w:rPr>
          <w:b/>
        </w:rPr>
        <w:t>Information about the requesting party</w:t>
      </w:r>
    </w:p>
    <w:p w14:paraId="0BEA7AD0" w14:textId="77777777" w:rsidR="003B03C8" w:rsidRPr="003B03C8" w:rsidRDefault="003B03C8" w:rsidP="003B03C8">
      <w:pPr>
        <w:spacing w:after="0"/>
      </w:pPr>
    </w:p>
    <w:p w14:paraId="4E7A88B2" w14:textId="77777777" w:rsidR="003A7733" w:rsidRDefault="00ED6D89" w:rsidP="00ED6D89">
      <w:pPr>
        <w:tabs>
          <w:tab w:val="left" w:pos="360"/>
        </w:tabs>
        <w:ind w:left="360" w:hanging="360"/>
      </w:pPr>
      <w:r>
        <w:t>1.</w:t>
      </w:r>
      <w:r>
        <w:tab/>
      </w:r>
      <w:r w:rsidR="003A7733">
        <w:t>Is this request being submitted on behalf of a group? If so, please provide the name of the group and the participating parties.</w:t>
      </w:r>
    </w:p>
    <w:p w14:paraId="6DE51C47" w14:textId="120BFEEC" w:rsidR="00383E4F" w:rsidRPr="00EE48A2" w:rsidRDefault="00B67370" w:rsidP="00ED6D89">
      <w:p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This request </w:t>
      </w:r>
      <w:bookmarkStart w:id="0" w:name="_GoBack"/>
      <w:bookmarkEnd w:id="0"/>
      <w:r w:rsidR="00EE48A2" w:rsidRPr="00B62321">
        <w:rPr>
          <w:color w:val="C45911" w:themeColor="accent2" w:themeShade="BF"/>
        </w:rPr>
        <w:t>is being submitted on behalf of the Center on Gender Equity and Health, University of California San Diego.</w:t>
      </w:r>
    </w:p>
    <w:p w14:paraId="5A210AD1" w14:textId="7626EA01" w:rsidR="000E1EC7" w:rsidRDefault="003A7733" w:rsidP="00264A83">
      <w:pPr>
        <w:pStyle w:val="Heading1"/>
        <w:rPr>
          <w:b/>
        </w:rPr>
      </w:pPr>
      <w:r>
        <w:rPr>
          <w:b/>
        </w:rPr>
        <w:t xml:space="preserve">Section II. </w:t>
      </w:r>
      <w:r w:rsidR="00BE4C32" w:rsidRPr="000E1EC7">
        <w:rPr>
          <w:b/>
        </w:rPr>
        <w:t>Indicator definition</w:t>
      </w:r>
      <w:r w:rsidR="00E42624">
        <w:rPr>
          <w:b/>
        </w:rPr>
        <w:t xml:space="preserve"> and rationale</w:t>
      </w:r>
    </w:p>
    <w:p w14:paraId="4DEC13F6" w14:textId="77777777" w:rsidR="003B03C8" w:rsidRPr="003B03C8" w:rsidRDefault="003B03C8" w:rsidP="003B03C8">
      <w:pPr>
        <w:pStyle w:val="NoSpacing"/>
      </w:pPr>
    </w:p>
    <w:p w14:paraId="291186BA" w14:textId="76249ED3" w:rsidR="00BE4C32" w:rsidRPr="00614F55" w:rsidRDefault="00ED6D89" w:rsidP="00ED6D89">
      <w:pPr>
        <w:tabs>
          <w:tab w:val="left" w:pos="360"/>
        </w:tabs>
        <w:ind w:left="360" w:hanging="360"/>
      </w:pPr>
      <w:r>
        <w:t xml:space="preserve">2. </w:t>
      </w:r>
      <w:r>
        <w:tab/>
      </w:r>
      <w:r w:rsidR="00FC2ECE">
        <w:t xml:space="preserve">Please </w:t>
      </w:r>
      <w:r w:rsidR="000278F5">
        <w:t>define</w:t>
      </w:r>
      <w:r w:rsidR="00BE4C32">
        <w:t xml:space="preserve"> the indicator or indicators </w:t>
      </w:r>
      <w:r w:rsidR="00006877">
        <w:t xml:space="preserve">you are requesting The DHS Program to </w:t>
      </w:r>
      <w:r w:rsidR="000278F5">
        <w:t>incorporate</w:t>
      </w:r>
      <w:r w:rsidR="00BE4C32">
        <w:t xml:space="preserve">. </w:t>
      </w:r>
      <w:r w:rsidR="00BE4C32" w:rsidRPr="00ED6D89">
        <w:rPr>
          <w:i/>
        </w:rPr>
        <w:t xml:space="preserve">Multiple indicators derived from a single set of questions </w:t>
      </w:r>
      <w:r w:rsidR="00006877" w:rsidRPr="00ED6D89">
        <w:rPr>
          <w:i/>
        </w:rPr>
        <w:t>should</w:t>
      </w:r>
      <w:r w:rsidR="00BE4C32" w:rsidRPr="00ED6D89">
        <w:rPr>
          <w:i/>
        </w:rPr>
        <w:t xml:space="preserve"> b</w:t>
      </w:r>
      <w:r w:rsidR="00736F09" w:rsidRPr="00ED6D89">
        <w:rPr>
          <w:i/>
        </w:rPr>
        <w:t>e included i</w:t>
      </w:r>
      <w:r w:rsidR="00BE4C32" w:rsidRPr="00ED6D89">
        <w:rPr>
          <w:i/>
        </w:rPr>
        <w:t xml:space="preserve">n the same </w:t>
      </w:r>
      <w:r w:rsidR="003D45B0" w:rsidRPr="00ED6D89">
        <w:rPr>
          <w:i/>
        </w:rPr>
        <w:t>submission</w:t>
      </w:r>
      <w:r w:rsidR="00006877" w:rsidRPr="00ED6D89">
        <w:rPr>
          <w:i/>
        </w:rPr>
        <w:t>.</w:t>
      </w:r>
      <w:r w:rsidR="0079250A" w:rsidRPr="00ED6D89">
        <w:rPr>
          <w:i/>
        </w:rPr>
        <w:t xml:space="preserve"> </w:t>
      </w:r>
      <w:r w:rsidR="0079250A" w:rsidRPr="0079250A">
        <w:t>(Response required)</w:t>
      </w:r>
    </w:p>
    <w:p w14:paraId="75CAF07E" w14:textId="627139FF" w:rsidR="00383E4F" w:rsidRPr="00217BCF" w:rsidRDefault="00217BCF">
      <w:pPr>
        <w:rPr>
          <w:color w:val="C45911" w:themeColor="accent2" w:themeShade="BF"/>
        </w:rPr>
      </w:pPr>
      <w:r w:rsidRPr="00217BCF">
        <w:rPr>
          <w:color w:val="C45911" w:themeColor="accent2" w:themeShade="BF"/>
        </w:rPr>
        <w:t>Indicator 1: Coercive sexual environment perception</w:t>
      </w:r>
      <w:r>
        <w:rPr>
          <w:color w:val="C45911" w:themeColor="accent2" w:themeShade="BF"/>
        </w:rPr>
        <w:t xml:space="preserve"> scale</w:t>
      </w:r>
    </w:p>
    <w:p w14:paraId="564357C4" w14:textId="35DB36C7" w:rsidR="00220325" w:rsidRPr="00217BCF" w:rsidRDefault="00217BCF">
      <w:pPr>
        <w:rPr>
          <w:color w:val="C45911" w:themeColor="accent2" w:themeShade="BF"/>
        </w:rPr>
      </w:pPr>
      <w:r w:rsidRPr="00217BCF">
        <w:rPr>
          <w:color w:val="C45911" w:themeColor="accent2" w:themeShade="BF"/>
        </w:rPr>
        <w:t>Indicator 2: Coercive sexual environment victimization</w:t>
      </w:r>
      <w:r>
        <w:rPr>
          <w:color w:val="C45911" w:themeColor="accent2" w:themeShade="BF"/>
        </w:rPr>
        <w:t xml:space="preserve"> scale</w:t>
      </w:r>
    </w:p>
    <w:p w14:paraId="28767A61" w14:textId="5C49B059" w:rsidR="00E42624" w:rsidRPr="00E42624" w:rsidRDefault="00ED6D89" w:rsidP="00ED6D89">
      <w:pPr>
        <w:tabs>
          <w:tab w:val="left" w:pos="360"/>
        </w:tabs>
        <w:ind w:left="360" w:hanging="360"/>
      </w:pPr>
      <w:r>
        <w:t xml:space="preserve">3. </w:t>
      </w:r>
      <w:r>
        <w:tab/>
      </w:r>
      <w:r w:rsidR="00E42624" w:rsidRPr="00E42624">
        <w:t xml:space="preserve">What is the rationale for measuring </w:t>
      </w:r>
      <w:r w:rsidR="00FA4713">
        <w:t>this</w:t>
      </w:r>
      <w:r w:rsidR="00E42624" w:rsidRPr="00E42624">
        <w:t xml:space="preserve"> indicator</w:t>
      </w:r>
      <w:r w:rsidR="00FA4713">
        <w:t xml:space="preserve"> (each of these indicators)</w:t>
      </w:r>
      <w:r w:rsidR="00E42624" w:rsidRPr="00E42624">
        <w:t xml:space="preserve"> in DHS surveys?</w:t>
      </w:r>
      <w:r w:rsidR="0079250A">
        <w:t xml:space="preserve"> (Response required)</w:t>
      </w:r>
    </w:p>
    <w:p w14:paraId="776FF080" w14:textId="6739CC5C" w:rsidR="00383E4F" w:rsidRPr="008B48EE" w:rsidRDefault="00CC3595" w:rsidP="006D6AB2">
      <w:pPr>
        <w:rPr>
          <w:color w:val="C45911" w:themeColor="accent2" w:themeShade="BF"/>
        </w:rPr>
      </w:pPr>
      <w:r>
        <w:rPr>
          <w:color w:val="C45911" w:themeColor="accent2" w:themeShade="BF"/>
        </w:rPr>
        <w:t>A c</w:t>
      </w:r>
      <w:r w:rsidR="00CE72A6" w:rsidRPr="00D17380">
        <w:rPr>
          <w:color w:val="C45911" w:themeColor="accent2" w:themeShade="BF"/>
        </w:rPr>
        <w:t>oercive sexual environment refers to an environment or communit</w:t>
      </w:r>
      <w:r w:rsidR="000C5949">
        <w:rPr>
          <w:color w:val="C45911" w:themeColor="accent2" w:themeShade="BF"/>
        </w:rPr>
        <w:t>y</w:t>
      </w:r>
      <w:r w:rsidR="00CE72A6" w:rsidRPr="00D17380">
        <w:rPr>
          <w:color w:val="C45911" w:themeColor="accent2" w:themeShade="BF"/>
        </w:rPr>
        <w:t xml:space="preserve"> wherein harassment, domestic violence and sexual exploitation of women and very young girls become part of everyday life </w:t>
      </w:r>
      <w:r w:rsidR="00CE72A6" w:rsidRPr="00D17380">
        <w:rPr>
          <w:color w:val="C45911" w:themeColor="accent2" w:themeShade="BF"/>
          <w:vertAlign w:val="superscript"/>
        </w:rPr>
        <w:fldChar w:fldCharType="begin"/>
      </w:r>
      <w:r w:rsidR="00CE72A6" w:rsidRPr="00D17380">
        <w:rPr>
          <w:color w:val="C45911" w:themeColor="accent2" w:themeShade="BF"/>
          <w:vertAlign w:val="superscript"/>
        </w:rPr>
        <w:instrText xml:space="preserve"> ADDIN EN.CITE &lt;EndNote&gt;&lt;Cite&gt;&lt;Author&gt;Popkin&lt;/Author&gt;&lt;Year&gt;2010&lt;/Year&gt;&lt;RecNum&gt;15&lt;/RecNum&gt;&lt;DisplayText&gt;&lt;style face="superscript"&gt;1,2&lt;/style&gt;&lt;/DisplayText&gt;&lt;record&gt;&lt;rec-number&gt;15&lt;/rec-number&gt;&lt;foreign-keys&gt;&lt;key app="EN" db-id="29wtv5f5cttp05ex2x05rrx7fa92aztva09t" timestamp="1551825825"&gt;15&lt;/key&gt;&lt;/foreign-keys&gt;&lt;ref-type name="Journal Article"&gt;17&lt;/ref-type&gt;&lt;contributors&gt;&lt;authors&gt;&lt;author&gt;Popkin, Susan J&lt;/author&gt;&lt;author&gt;Acs, Gregory&lt;/author&gt;&lt;author&gt;Smith, Robin %J Community Investments&lt;/author&gt;&lt;/authors&gt;&lt;/contributors&gt;&lt;titles&gt;&lt;title&gt;Understanding how place matters for kids&lt;/title&gt;&lt;/titles&gt;&lt;pages&gt;23-26&lt;/pages&gt;&lt;volume&gt;22&lt;/volume&gt;&lt;number&gt;1&lt;/number&gt;&lt;dates&gt;&lt;year&gt;2010&lt;/year&gt;&lt;/dates&gt;&lt;urls&gt;&lt;/urls&gt;&lt;/record&gt;&lt;/Cite&gt;&lt;Cite&gt;&lt;Author&gt;Popkin&lt;/Author&gt;&lt;Year&gt;2010&lt;/Year&gt;&lt;RecNum&gt;16&lt;/RecNum&gt;&lt;record&gt;&lt;rec-number&gt;16&lt;/rec-number&gt;&lt;foreign-keys&gt;&lt;key app="EN" db-id="29wtv5f5cttp05ex2x05rrx7fa92aztva09t" timestamp="1551825875"&gt;16&lt;/key&gt;&lt;/foreign-keys&gt;&lt;ref-type name="Journal Article"&gt;17&lt;/ref-type&gt;&lt;contributors&gt;&lt;authors&gt;&lt;author&gt;Popkin, Susan J&lt;/author&gt;&lt;author&gt;Leventhal, Tama&lt;/author&gt;&lt;author&gt;Weismann, Gretchen %J Urban Affairs Review&lt;/author&gt;&lt;/authors&gt;&lt;/contributors&gt;&lt;titles&gt;&lt;title&gt;Girls in the’hood: How safety affects the life chances of low-income girls&lt;/title&gt;&lt;/titles&gt;&lt;pages&gt;715-744&lt;/pages&gt;&lt;volume&gt;45&lt;/volume&gt;&lt;number&gt;6&lt;/number&gt;&lt;dates&gt;&lt;year&gt;2010&lt;/year&gt;&lt;/dates&gt;&lt;isbn&gt;1078-0874&lt;/isbn&gt;&lt;urls&gt;&lt;/urls&gt;&lt;/record&gt;&lt;/Cite&gt;&lt;/EndNote&gt;</w:instrText>
      </w:r>
      <w:r w:rsidR="00CE72A6" w:rsidRPr="00D17380">
        <w:rPr>
          <w:color w:val="C45911" w:themeColor="accent2" w:themeShade="BF"/>
          <w:vertAlign w:val="superscript"/>
        </w:rPr>
        <w:fldChar w:fldCharType="separate"/>
      </w:r>
      <w:r w:rsidR="00CE72A6" w:rsidRPr="00D17380">
        <w:rPr>
          <w:color w:val="C45911" w:themeColor="accent2" w:themeShade="BF"/>
          <w:vertAlign w:val="superscript"/>
        </w:rPr>
        <w:t>1,2</w:t>
      </w:r>
      <w:r w:rsidR="00CE72A6" w:rsidRPr="00D17380">
        <w:rPr>
          <w:color w:val="C45911" w:themeColor="accent2" w:themeShade="BF"/>
          <w:vertAlign w:val="superscript"/>
        </w:rPr>
        <w:fldChar w:fldCharType="end"/>
      </w:r>
      <w:r w:rsidR="00CE72A6" w:rsidRPr="00D17380">
        <w:rPr>
          <w:color w:val="C45911" w:themeColor="accent2" w:themeShade="BF"/>
        </w:rPr>
        <w:t>. Studies have shown that</w:t>
      </w:r>
      <w:r w:rsidR="008B48EE">
        <w:rPr>
          <w:color w:val="C45911" w:themeColor="accent2" w:themeShade="BF"/>
        </w:rPr>
        <w:t xml:space="preserve"> majority of women in the world</w:t>
      </w:r>
      <w:r w:rsidR="00D17380" w:rsidRPr="00D17380">
        <w:rPr>
          <w:color w:val="C45911" w:themeColor="accent2" w:themeShade="BF"/>
        </w:rPr>
        <w:t xml:space="preserve"> experience </w:t>
      </w:r>
      <w:r w:rsidR="00CE72A6" w:rsidRPr="00D17380">
        <w:rPr>
          <w:color w:val="C45911" w:themeColor="accent2" w:themeShade="BF"/>
        </w:rPr>
        <w:t xml:space="preserve">such gender-based abuse, </w:t>
      </w:r>
      <w:r w:rsidR="00D17380" w:rsidRPr="00D17380">
        <w:rPr>
          <w:color w:val="C45911" w:themeColor="accent2" w:themeShade="BF"/>
        </w:rPr>
        <w:t xml:space="preserve">with prevalence </w:t>
      </w:r>
      <w:r w:rsidR="008B48EE">
        <w:rPr>
          <w:color w:val="C45911" w:themeColor="accent2" w:themeShade="BF"/>
        </w:rPr>
        <w:t xml:space="preserve">being </w:t>
      </w:r>
      <w:r w:rsidR="00D17380" w:rsidRPr="00D17380">
        <w:rPr>
          <w:color w:val="C45911" w:themeColor="accent2" w:themeShade="BF"/>
        </w:rPr>
        <w:t>higher for those  residing in high-poverty communities</w:t>
      </w:r>
      <w:r w:rsidR="00D17380" w:rsidRPr="00D17380">
        <w:rPr>
          <w:color w:val="C45911" w:themeColor="accent2" w:themeShade="BF"/>
          <w:vertAlign w:val="superscript"/>
        </w:rPr>
        <w:fldChar w:fldCharType="begin"/>
      </w:r>
      <w:r w:rsidR="00D17380" w:rsidRPr="00D17380">
        <w:rPr>
          <w:color w:val="C45911" w:themeColor="accent2" w:themeShade="BF"/>
          <w:vertAlign w:val="superscript"/>
        </w:rPr>
        <w:instrText xml:space="preserve"> ADDIN EN.CITE &lt;EndNote&gt;&lt;Cite&gt;&lt;Author&gt;Dominguez&lt;/Author&gt;&lt;Year&gt;2014&lt;/Year&gt;&lt;RecNum&gt;18&lt;/RecNum&gt;&lt;DisplayText&gt;&lt;style face="superscript"&gt;3&lt;/style&gt;&lt;/DisplayText&gt;&lt;record&gt;&lt;rec-number&gt;18&lt;/rec-number&gt;&lt;foreign-keys&gt;&lt;key app="EN" db-id="29wtv5f5cttp05ex2x05rrx7fa92aztva09t" timestamp="1551826274"&gt;18&lt;/key&gt;&lt;/foreign-keys&gt;&lt;ref-type name="Conference Proceedings"&gt;10&lt;/ref-type&gt;&lt;contributors&gt;&lt;authors&gt;&lt;author&gt;Dominguez, Silvia&lt;/author&gt;&lt;author&gt;Menjivar, Cecilia&lt;/author&gt;&lt;/authors&gt;&lt;/contributors&gt;&lt;titles&gt;&lt;title&gt;Beyond individual and visible acts of violence: A framework to examine the lives of women in low-income neighborhoods&lt;/title&gt;&lt;secondary-title&gt;Women&amp;apos;s Studies International Forum&lt;/secondary-title&gt;&lt;/titles&gt;&lt;pages&gt;184-195&lt;/pages&gt;&lt;volume&gt;44&lt;/volume&gt;&lt;dates&gt;&lt;year&gt;2014&lt;/year&gt;&lt;/dates&gt;&lt;publisher&gt;Elsevier&lt;/publisher&gt;&lt;isbn&gt;0277-5395&lt;/isbn&gt;&lt;urls&gt;&lt;/urls&gt;&lt;/record&gt;&lt;/Cite&gt;&lt;/EndNote&gt;</w:instrText>
      </w:r>
      <w:r w:rsidR="00D17380" w:rsidRPr="00D17380">
        <w:rPr>
          <w:color w:val="C45911" w:themeColor="accent2" w:themeShade="BF"/>
          <w:vertAlign w:val="superscript"/>
        </w:rPr>
        <w:fldChar w:fldCharType="separate"/>
      </w:r>
      <w:r w:rsidR="00D17380" w:rsidRPr="00D17380">
        <w:rPr>
          <w:color w:val="C45911" w:themeColor="accent2" w:themeShade="BF"/>
          <w:vertAlign w:val="superscript"/>
        </w:rPr>
        <w:t>3</w:t>
      </w:r>
      <w:r w:rsidR="00D17380" w:rsidRPr="00D17380">
        <w:rPr>
          <w:color w:val="C45911" w:themeColor="accent2" w:themeShade="BF"/>
          <w:vertAlign w:val="superscript"/>
        </w:rPr>
        <w:fldChar w:fldCharType="end"/>
      </w:r>
      <w:r w:rsidR="00D17380" w:rsidRPr="00D17380">
        <w:rPr>
          <w:color w:val="C45911" w:themeColor="accent2" w:themeShade="BF"/>
        </w:rPr>
        <w:t xml:space="preserve">. </w:t>
      </w:r>
      <w:r w:rsidR="000C5949">
        <w:rPr>
          <w:color w:val="C45911" w:themeColor="accent2" w:themeShade="BF"/>
        </w:rPr>
        <w:t>S</w:t>
      </w:r>
      <w:r w:rsidR="00D17380" w:rsidRPr="00D17380">
        <w:rPr>
          <w:color w:val="C45911" w:themeColor="accent2" w:themeShade="BF"/>
        </w:rPr>
        <w:t>exual harassment puts young women at risk of a range of poor outcomes, including a higher likelihood for experiencing intimate partner violence and emotional abuse, substance abuse and poor school performance</w:t>
      </w:r>
      <w:r w:rsidR="00D17380">
        <w:rPr>
          <w:color w:val="C45911" w:themeColor="accent2" w:themeShade="BF"/>
        </w:rPr>
        <w:t xml:space="preserve"> </w:t>
      </w:r>
      <w:r w:rsidR="00D17380">
        <w:rPr>
          <w:color w:val="C45911" w:themeColor="accent2" w:themeShade="BF"/>
        </w:rPr>
        <w:fldChar w:fldCharType="begin"/>
      </w:r>
      <w:r w:rsidR="00D17380">
        <w:rPr>
          <w:color w:val="C45911" w:themeColor="accent2" w:themeShade="BF"/>
        </w:rPr>
        <w:instrText xml:space="preserve"> ADDIN EN.CITE &lt;EndNote&gt;&lt;Cite&gt;&lt;Author&gt;Hand&lt;/Author&gt;&lt;Year&gt;2000&lt;/Year&gt;&lt;RecNum&gt;19&lt;/RecNum&gt;&lt;DisplayText&gt;&lt;style face="superscript"&gt;4,5&lt;/style&gt;&lt;/DisplayText&gt;&lt;record&gt;&lt;rec-number&gt;19&lt;/rec-number&gt;&lt;foreign-keys&gt;&lt;key app="EN" db-id="29wtv5f5cttp05ex2x05rrx7fa92aztva09t" timestamp="1551826400"&gt;19&lt;/key&gt;&lt;/foreign-keys&gt;&lt;ref-type name="Journal Article"&gt;17&lt;/ref-type&gt;&lt;contributors&gt;&lt;authors&gt;&lt;author&gt;Hand, Jeanne Z&lt;/author&gt;&lt;author&gt;Sanchez, Laura %J Gender&lt;/author&gt;&lt;author&gt;Society&lt;/author&gt;&lt;/authors&gt;&lt;/contributors&gt;&lt;titles&gt;&lt;title&gt;Badgering or bantering? Gender differences in experience of, and reactions to, sexual harassment among US high school students&lt;/title&gt;&lt;/titles&gt;&lt;pages&gt;718-746&lt;/pages&gt;&lt;volume&gt;14&lt;/volume&gt;&lt;number&gt;6&lt;/number&gt;&lt;dates&gt;&lt;year&gt;2000&lt;/year&gt;&lt;/dates&gt;&lt;isbn&gt;0891-2432&lt;/isbn&gt;&lt;urls&gt;&lt;/urls&gt;&lt;/record&gt;&lt;/Cite&gt;&lt;Cite&gt;&lt;Author&gt;Chiodo&lt;/Author&gt;&lt;Year&gt;2009&lt;/Year&gt;&lt;RecNum&gt;20&lt;/RecNum&gt;&lt;record&gt;&lt;rec-number&gt;20&lt;/rec-number&gt;&lt;foreign-keys&gt;&lt;key app="EN" db-id="29wtv5f5cttp05ex2x05rrx7fa92aztva09t" timestamp="1551826440"&gt;20&lt;/key&gt;&lt;/foreign-keys&gt;&lt;ref-type name="Journal Article"&gt;17&lt;/ref-type&gt;&lt;contributors&gt;&lt;authors&gt;&lt;author&gt;Chiodo, Debbie&lt;/author&gt;&lt;author&gt;Wolfe, David A&lt;/author&gt;&lt;author&gt;Crooks, Claire&lt;/author&gt;&lt;author&gt;Hughes, Ray&lt;/author&gt;&lt;author&gt;Jaffe, Peter %J Journal of Adolescent Health&lt;/author&gt;&lt;/authors&gt;&lt;/contributors&gt;&lt;titles&gt;&lt;title&gt;Impact of sexual harassment victimization by peers on subsequent adolescent victimization and adjustment: A longitudinal study&lt;/title&gt;&lt;/titles&gt;&lt;pages&gt;246-252&lt;/pages&gt;&lt;volume&gt;45&lt;/volume&gt;&lt;number&gt;3&lt;/number&gt;&lt;dates&gt;&lt;year&gt;2009&lt;/year&gt;&lt;/dates&gt;&lt;isbn&gt;1054-139X&lt;/isbn&gt;&lt;urls&gt;&lt;/urls&gt;&lt;/record&gt;&lt;/Cite&gt;&lt;/EndNote&gt;</w:instrText>
      </w:r>
      <w:r w:rsidR="00D17380">
        <w:rPr>
          <w:color w:val="C45911" w:themeColor="accent2" w:themeShade="BF"/>
        </w:rPr>
        <w:fldChar w:fldCharType="separate"/>
      </w:r>
      <w:r w:rsidR="00D17380" w:rsidRPr="00D17380">
        <w:rPr>
          <w:noProof/>
          <w:color w:val="C45911" w:themeColor="accent2" w:themeShade="BF"/>
          <w:vertAlign w:val="superscript"/>
        </w:rPr>
        <w:t>4,5</w:t>
      </w:r>
      <w:r w:rsidR="00D17380">
        <w:rPr>
          <w:color w:val="C45911" w:themeColor="accent2" w:themeShade="BF"/>
        </w:rPr>
        <w:fldChar w:fldCharType="end"/>
      </w:r>
      <w:r w:rsidR="00D17380" w:rsidRPr="00D17380">
        <w:rPr>
          <w:color w:val="C45911" w:themeColor="accent2" w:themeShade="BF"/>
        </w:rPr>
        <w:t xml:space="preserve">. </w:t>
      </w:r>
      <w:r w:rsidR="008B48EE">
        <w:rPr>
          <w:color w:val="C45911" w:themeColor="accent2" w:themeShade="BF"/>
        </w:rPr>
        <w:t xml:space="preserve">Studies also suggest that in many contexts, </w:t>
      </w:r>
      <w:r w:rsidR="008B48EE" w:rsidRPr="008B48EE">
        <w:rPr>
          <w:color w:val="C45911" w:themeColor="accent2" w:themeShade="BF"/>
        </w:rPr>
        <w:t>girls drop out of school without completing secondary education because of fear of harass</w:t>
      </w:r>
      <w:r w:rsidR="000B5EA2">
        <w:rPr>
          <w:color w:val="C45911" w:themeColor="accent2" w:themeShade="BF"/>
        </w:rPr>
        <w:t>ment</w:t>
      </w:r>
      <w:r w:rsidR="008B48EE" w:rsidRPr="008B48EE">
        <w:rPr>
          <w:color w:val="C45911" w:themeColor="accent2" w:themeShade="BF"/>
        </w:rPr>
        <w:t xml:space="preserve"> on their way to school</w:t>
      </w:r>
      <w:r w:rsidR="00AF4703">
        <w:rPr>
          <w:color w:val="C45911" w:themeColor="accent2" w:themeShade="BF"/>
        </w:rPr>
        <w:t xml:space="preserve"> </w:t>
      </w:r>
      <w:r w:rsidR="00AF4703">
        <w:rPr>
          <w:color w:val="C45911" w:themeColor="accent2" w:themeShade="BF"/>
        </w:rPr>
        <w:fldChar w:fldCharType="begin"/>
      </w:r>
      <w:r w:rsidR="00AF4703">
        <w:rPr>
          <w:color w:val="C45911" w:themeColor="accent2" w:themeShade="BF"/>
        </w:rPr>
        <w:instrText xml:space="preserve"> ADDIN EN.CITE &lt;EndNote&gt;&lt;Cite&gt;&lt;Author&gt;Nekatibeb&lt;/Author&gt;&lt;Year&gt;2002&lt;/Year&gt;&lt;RecNum&gt;21&lt;/RecNum&gt;&lt;DisplayText&gt;&lt;style face="superscript"&gt;6&lt;/style&gt;&lt;/DisplayText&gt;&lt;record&gt;&lt;rec-number&gt;21&lt;/rec-number&gt;&lt;foreign-keys&gt;&lt;key app="EN" db-id="29wtv5f5cttp05ex2x05rrx7fa92aztva09t" timestamp="1551827550"&gt;21&lt;/key&gt;&lt;/foreign-keys&gt;&lt;ref-type name="Journal Article"&gt;17&lt;/ref-type&gt;&lt;contributors&gt;&lt;authors&gt;&lt;author&gt;Nekatibeb, Teshome %J Addis Ababa, Ethiopia: A case study of dropouts from the Amhara&lt;/author&gt;&lt;author&gt;Oromia regions in Ethiopia&lt;/author&gt;&lt;/authors&gt;&lt;/contributors&gt;&lt;titles&gt;&lt;title&gt;Low participation of female students in primary education&lt;/title&gt;&lt;/titles&gt;&lt;dates&gt;&lt;year&gt;2002&lt;/year&gt;&lt;/dates&gt;&lt;urls&gt;&lt;/urls&gt;&lt;/record&gt;&lt;/Cite&gt;&lt;/EndNote&gt;</w:instrText>
      </w:r>
      <w:r w:rsidR="00AF4703">
        <w:rPr>
          <w:color w:val="C45911" w:themeColor="accent2" w:themeShade="BF"/>
        </w:rPr>
        <w:fldChar w:fldCharType="separate"/>
      </w:r>
      <w:r w:rsidR="00AF4703" w:rsidRPr="00AF4703">
        <w:rPr>
          <w:noProof/>
          <w:color w:val="C45911" w:themeColor="accent2" w:themeShade="BF"/>
          <w:vertAlign w:val="superscript"/>
        </w:rPr>
        <w:t>6</w:t>
      </w:r>
      <w:r w:rsidR="00AF4703">
        <w:rPr>
          <w:color w:val="C45911" w:themeColor="accent2" w:themeShade="BF"/>
        </w:rPr>
        <w:fldChar w:fldCharType="end"/>
      </w:r>
      <w:r w:rsidR="008B48EE">
        <w:rPr>
          <w:color w:val="C45911" w:themeColor="accent2" w:themeShade="BF"/>
        </w:rPr>
        <w:t>. While coercive sexual environment</w:t>
      </w:r>
      <w:r w:rsidR="000B5EA2">
        <w:rPr>
          <w:color w:val="C45911" w:themeColor="accent2" w:themeShade="BF"/>
        </w:rPr>
        <w:t>s have been</w:t>
      </w:r>
      <w:r w:rsidR="008B48EE">
        <w:rPr>
          <w:color w:val="C45911" w:themeColor="accent2" w:themeShade="BF"/>
        </w:rPr>
        <w:t xml:space="preserve"> shown to have long-term effects on women’s well-being, data on its prevalence is scarce. There are no multi-country</w:t>
      </w:r>
      <w:r w:rsidR="00722F5B">
        <w:rPr>
          <w:color w:val="C45911" w:themeColor="accent2" w:themeShade="BF"/>
        </w:rPr>
        <w:t xml:space="preserve"> </w:t>
      </w:r>
      <w:r w:rsidR="008B48EE">
        <w:rPr>
          <w:color w:val="C45911" w:themeColor="accent2" w:themeShade="BF"/>
        </w:rPr>
        <w:t>surveys which collect information on women’s perception as well as experience of a coercive sexual environment.</w:t>
      </w:r>
      <w:r w:rsidR="00D35BB4">
        <w:rPr>
          <w:color w:val="C45911" w:themeColor="accent2" w:themeShade="BF"/>
        </w:rPr>
        <w:t xml:space="preserve"> </w:t>
      </w:r>
      <w:r w:rsidR="008B48EE">
        <w:rPr>
          <w:color w:val="C45911" w:themeColor="accent2" w:themeShade="BF"/>
        </w:rPr>
        <w:t xml:space="preserve">Availability of such data is crucial for countries to develop interventions </w:t>
      </w:r>
      <w:r w:rsidR="003F1B60">
        <w:rPr>
          <w:color w:val="C45911" w:themeColor="accent2" w:themeShade="BF"/>
        </w:rPr>
        <w:t>for</w:t>
      </w:r>
      <w:r w:rsidR="008B48EE">
        <w:rPr>
          <w:color w:val="C45911" w:themeColor="accent2" w:themeShade="BF"/>
        </w:rPr>
        <w:t xml:space="preserve"> prevent</w:t>
      </w:r>
      <w:r w:rsidR="003F1B60">
        <w:rPr>
          <w:color w:val="C45911" w:themeColor="accent2" w:themeShade="BF"/>
        </w:rPr>
        <w:t>ion of</w:t>
      </w:r>
      <w:r w:rsidR="008B48EE">
        <w:rPr>
          <w:color w:val="C45911" w:themeColor="accent2" w:themeShade="BF"/>
        </w:rPr>
        <w:t xml:space="preserve"> sexual harassment and provide care to victims.</w:t>
      </w:r>
      <w:r w:rsidR="00570772">
        <w:rPr>
          <w:color w:val="C45911" w:themeColor="accent2" w:themeShade="BF"/>
        </w:rPr>
        <w:t xml:space="preserve"> We propose two scales for measuring coercive sexual environment perception and victimization respectively. These two scales have been tested and validated by a study carried out among adults in Washington</w:t>
      </w:r>
      <w:r w:rsidR="00722F5B">
        <w:rPr>
          <w:color w:val="C45911" w:themeColor="accent2" w:themeShade="BF"/>
        </w:rPr>
        <w:t>,</w:t>
      </w:r>
      <w:r w:rsidR="00570772">
        <w:rPr>
          <w:color w:val="C45911" w:themeColor="accent2" w:themeShade="BF"/>
        </w:rPr>
        <w:t xml:space="preserve"> D.C</w:t>
      </w:r>
      <w:r w:rsidR="00722F5B">
        <w:rPr>
          <w:color w:val="C45911" w:themeColor="accent2" w:themeShade="BF"/>
        </w:rPr>
        <w:t>, USA</w:t>
      </w:r>
      <w:r w:rsidR="00570772">
        <w:rPr>
          <w:color w:val="C45911" w:themeColor="accent2" w:themeShade="BF"/>
        </w:rPr>
        <w:t xml:space="preserve"> </w:t>
      </w:r>
      <w:r w:rsidR="00570772">
        <w:rPr>
          <w:color w:val="C45911" w:themeColor="accent2" w:themeShade="BF"/>
        </w:rPr>
        <w:fldChar w:fldCharType="begin"/>
      </w:r>
      <w:r w:rsidR="00570772">
        <w:rPr>
          <w:color w:val="C45911" w:themeColor="accent2" w:themeShade="BF"/>
        </w:rPr>
        <w:instrText xml:space="preserve"> ADDIN EN.CITE &lt;EndNote&gt;&lt;Cite&gt;&lt;Author&gt;Popkin&lt;/Author&gt;&lt;Year&gt;2019&lt;/Year&gt;&lt;RecNum&gt;22&lt;/RecNum&gt;&lt;DisplayText&gt;&lt;style face="superscript"&gt;7&lt;/style&gt;&lt;/DisplayText&gt;&lt;record&gt;&lt;rec-number&gt;22&lt;/rec-number&gt;&lt;foreign-keys&gt;&lt;key app="EN" db-id="29wtv5f5cttp05ex2x05rrx7fa92aztva09t" timestamp="1551828251"&gt;22&lt;/key&gt;&lt;/foreign-keys&gt;&lt;ref-type name="Journal Article"&gt;17&lt;/ref-type&gt;&lt;contributors&gt;&lt;authors&gt;&lt;author&gt;Popkin, Susan&lt;/author&gt;&lt;author&gt;Hailey, Chantal&lt;/author&gt;&lt;author&gt;Zweig, Janine&lt;/author&gt;&lt;author&gt;Astone, Nan&lt;/author&gt;&lt;author&gt;Jordan, Reed&lt;/author&gt;&lt;author&gt;Gordon, Leah&lt;/author&gt;&lt;author&gt;Silverman, Jay %J Journal of interpersonal violence&lt;/author&gt;&lt;/authors&gt;&lt;/contributors&gt;&lt;titles&gt;&lt;title&gt;Coercive sexual environments: Development and validation of a scale&lt;/title&gt;&lt;/titles&gt;&lt;pages&gt;27-49&lt;/pages&gt;&lt;volume&gt;34&lt;/volume&gt;&lt;number&gt;1&lt;/number&gt;&lt;dates&gt;&lt;year&gt;2019&lt;/year&gt;&lt;/dates&gt;&lt;isbn&gt;0886-2605&lt;/isbn&gt;&lt;urls&gt;&lt;/urls&gt;&lt;/record&gt;&lt;/Cite&gt;&lt;/EndNote&gt;</w:instrText>
      </w:r>
      <w:r w:rsidR="00570772">
        <w:rPr>
          <w:color w:val="C45911" w:themeColor="accent2" w:themeShade="BF"/>
        </w:rPr>
        <w:fldChar w:fldCharType="separate"/>
      </w:r>
      <w:r w:rsidR="00570772" w:rsidRPr="00570772">
        <w:rPr>
          <w:noProof/>
          <w:color w:val="C45911" w:themeColor="accent2" w:themeShade="BF"/>
          <w:vertAlign w:val="superscript"/>
        </w:rPr>
        <w:t>7</w:t>
      </w:r>
      <w:r w:rsidR="00570772">
        <w:rPr>
          <w:color w:val="C45911" w:themeColor="accent2" w:themeShade="BF"/>
        </w:rPr>
        <w:fldChar w:fldCharType="end"/>
      </w:r>
      <w:r w:rsidR="00570772">
        <w:rPr>
          <w:color w:val="C45911" w:themeColor="accent2" w:themeShade="BF"/>
        </w:rPr>
        <w:t>.</w:t>
      </w:r>
      <w:r w:rsidR="00594947">
        <w:rPr>
          <w:color w:val="C45911" w:themeColor="accent2" w:themeShade="BF"/>
        </w:rPr>
        <w:t xml:space="preserve"> They have also been adapted and applied for use in India and Niger.</w:t>
      </w:r>
    </w:p>
    <w:p w14:paraId="08AD9FC6" w14:textId="7676D8E6" w:rsidR="00736F09" w:rsidRDefault="00D00F57" w:rsidP="00DA1513">
      <w:pPr>
        <w:pStyle w:val="Heading1"/>
        <w:rPr>
          <w:b/>
        </w:rPr>
      </w:pPr>
      <w:r w:rsidRPr="000E1EC7">
        <w:rPr>
          <w:b/>
        </w:rPr>
        <w:t>Section II</w:t>
      </w:r>
      <w:r>
        <w:rPr>
          <w:b/>
        </w:rPr>
        <w:t>I</w:t>
      </w:r>
      <w:r w:rsidRPr="000E1EC7">
        <w:rPr>
          <w:b/>
        </w:rPr>
        <w:t xml:space="preserve">. </w:t>
      </w:r>
      <w:r>
        <w:rPr>
          <w:b/>
        </w:rPr>
        <w:t>Proposed additions/revisions to the questionnaires or biomarkers</w:t>
      </w:r>
    </w:p>
    <w:p w14:paraId="486BD8FB" w14:textId="77777777" w:rsidR="003B03C8" w:rsidRPr="003B03C8" w:rsidRDefault="003B03C8" w:rsidP="003B03C8">
      <w:pPr>
        <w:pStyle w:val="NoSpacing"/>
      </w:pPr>
    </w:p>
    <w:p w14:paraId="3E3463D5" w14:textId="3A26C726" w:rsidR="00736F09" w:rsidRDefault="00C420DE" w:rsidP="001C34C8">
      <w:pPr>
        <w:tabs>
          <w:tab w:val="left" w:pos="360"/>
        </w:tabs>
        <w:spacing w:after="0"/>
        <w:ind w:left="360" w:hanging="360"/>
      </w:pPr>
      <w:r>
        <w:t>4.</w:t>
      </w:r>
      <w:r>
        <w:tab/>
      </w:r>
      <w:r w:rsidR="00736F09">
        <w:t>Please d</w:t>
      </w:r>
      <w:r>
        <w:t>escri</w:t>
      </w:r>
      <w:r w:rsidR="00736F09">
        <w:t>be</w:t>
      </w:r>
      <w:r>
        <w:t xml:space="preserve"> </w:t>
      </w:r>
      <w:r w:rsidR="00736F09">
        <w:t xml:space="preserve">the requested addition or revision. </w:t>
      </w:r>
    </w:p>
    <w:p w14:paraId="7CB2C974" w14:textId="01E14BFD" w:rsidR="00736F09" w:rsidRPr="001C34C8" w:rsidRDefault="00736F09" w:rsidP="00736F09">
      <w:pPr>
        <w:tabs>
          <w:tab w:val="left" w:pos="360"/>
        </w:tabs>
        <w:ind w:left="360"/>
        <w:rPr>
          <w:i/>
        </w:rPr>
      </w:pPr>
      <w:r w:rsidRPr="001C34C8">
        <w:rPr>
          <w:i/>
        </w:rPr>
        <w:lastRenderedPageBreak/>
        <w:t xml:space="preserve">If the requested change is </w:t>
      </w:r>
      <w:r w:rsidR="00911C8F">
        <w:rPr>
          <w:i/>
        </w:rPr>
        <w:t>the</w:t>
      </w:r>
      <w:r w:rsidRPr="001C34C8">
        <w:rPr>
          <w:i/>
        </w:rPr>
        <w:t xml:space="preserve"> addition </w:t>
      </w:r>
      <w:r w:rsidR="00911C8F">
        <w:rPr>
          <w:i/>
        </w:rPr>
        <w:t xml:space="preserve">of new questions </w:t>
      </w:r>
      <w:r w:rsidRPr="001C34C8">
        <w:rPr>
          <w:i/>
        </w:rPr>
        <w:t>to the DHS questionnaire</w:t>
      </w:r>
      <w:r w:rsidR="00911C8F">
        <w:rPr>
          <w:i/>
        </w:rPr>
        <w:t>s or modules</w:t>
      </w:r>
      <w:r w:rsidR="001C34C8" w:rsidRPr="001C34C8">
        <w:rPr>
          <w:i/>
        </w:rPr>
        <w:t>, complete questions 4.1 and 4.1.1. If the requested change is a revision to existing que</w:t>
      </w:r>
      <w:r w:rsidR="00B71A43">
        <w:rPr>
          <w:i/>
        </w:rPr>
        <w:t>stions, complete question 4.2. I</w:t>
      </w:r>
      <w:r w:rsidR="001C34C8" w:rsidRPr="001C34C8">
        <w:rPr>
          <w:i/>
        </w:rPr>
        <w:t>f the change relates to a</w:t>
      </w:r>
      <w:r w:rsidR="00DA1513">
        <w:rPr>
          <w:i/>
        </w:rPr>
        <w:t>nthropometry or a</w:t>
      </w:r>
      <w:r w:rsidR="001C34C8" w:rsidRPr="001C34C8">
        <w:rPr>
          <w:i/>
        </w:rPr>
        <w:t xml:space="preserve"> biomarker, please complete question 4.3.</w:t>
      </w:r>
    </w:p>
    <w:p w14:paraId="2DB90F2C" w14:textId="4BDED5EE" w:rsidR="00264A83" w:rsidRDefault="00E42624" w:rsidP="00ED307C">
      <w:pPr>
        <w:tabs>
          <w:tab w:val="left" w:pos="810"/>
        </w:tabs>
        <w:ind w:left="810" w:hanging="450"/>
      </w:pPr>
      <w:r>
        <w:t>4</w:t>
      </w:r>
      <w:r w:rsidR="00264A83">
        <w:t>.1</w:t>
      </w:r>
      <w:r w:rsidR="00D00F57">
        <w:t xml:space="preserve">. </w:t>
      </w:r>
      <w:r w:rsidR="00ED307C">
        <w:tab/>
      </w:r>
      <w:r w:rsidR="00D00F57" w:rsidRPr="00D00F57">
        <w:rPr>
          <w:b/>
        </w:rPr>
        <w:t>For additions</w:t>
      </w:r>
      <w:r w:rsidR="00D00F57">
        <w:t>: If</w:t>
      </w:r>
      <w:r w:rsidR="003D45B0">
        <w:t xml:space="preserve"> you have developed</w:t>
      </w:r>
      <w:r w:rsidR="00D00F57">
        <w:t xml:space="preserve"> a </w:t>
      </w:r>
      <w:r w:rsidR="003D45B0">
        <w:t xml:space="preserve">question or </w:t>
      </w:r>
      <w:r w:rsidR="00D00F57">
        <w:t xml:space="preserve">set of questions to measure the indicator(s), </w:t>
      </w:r>
      <w:r w:rsidR="00CB1C12">
        <w:t xml:space="preserve">please </w:t>
      </w:r>
      <w:r w:rsidR="00D00F57">
        <w:t>provide them in the space below</w:t>
      </w:r>
      <w:r w:rsidR="008A5148">
        <w:t xml:space="preserve"> or in a separate file attached </w:t>
      </w:r>
      <w:r w:rsidR="00911C8F">
        <w:t>with</w:t>
      </w:r>
      <w:r w:rsidR="008A5148">
        <w:t xml:space="preserve"> your submission</w:t>
      </w:r>
      <w:r w:rsidR="00ED307C">
        <w:t xml:space="preserve">. </w:t>
      </w:r>
    </w:p>
    <w:p w14:paraId="1435E3D9" w14:textId="77777777" w:rsidR="00387B83" w:rsidRPr="00387B83" w:rsidRDefault="00387B83" w:rsidP="00387B83">
      <w:pPr>
        <w:shd w:val="clear" w:color="auto" w:fill="FFFFFF"/>
        <w:spacing w:after="0" w:line="240" w:lineRule="auto"/>
        <w:textAlignment w:val="baseline"/>
        <w:rPr>
          <w:b/>
          <w:color w:val="C45911" w:themeColor="accent2" w:themeShade="BF"/>
        </w:rPr>
      </w:pPr>
      <w:r w:rsidRPr="00387B83">
        <w:rPr>
          <w:b/>
          <w:color w:val="C45911" w:themeColor="accent2" w:themeShade="BF"/>
        </w:rPr>
        <w:t xml:space="preserve">Indicator 1: Coercive sexual environment perception scale </w:t>
      </w:r>
    </w:p>
    <w:p w14:paraId="40B8A127" w14:textId="40F90264" w:rsidR="00387B83" w:rsidRPr="00387B83" w:rsidRDefault="00387B83" w:rsidP="00387B83">
      <w:pPr>
        <w:shd w:val="clear" w:color="auto" w:fill="FFFFFF"/>
        <w:spacing w:after="0" w:line="240" w:lineRule="auto"/>
        <w:textAlignment w:val="baseline"/>
        <w:rPr>
          <w:color w:val="C45911" w:themeColor="accent2" w:themeShade="BF"/>
        </w:rPr>
      </w:pPr>
      <w:r w:rsidRPr="00387B83">
        <w:rPr>
          <w:color w:val="C45911" w:themeColor="accent2" w:themeShade="BF"/>
        </w:rPr>
        <w:t>Q1: How much of a problem in your neighborhood</w:t>
      </w:r>
      <w:r w:rsidR="000B5EA2">
        <w:rPr>
          <w:color w:val="C45911" w:themeColor="accent2" w:themeShade="BF"/>
        </w:rPr>
        <w:t>/village/community</w:t>
      </w:r>
      <w:r w:rsidRPr="00387B83">
        <w:rPr>
          <w:color w:val="C45911" w:themeColor="accent2" w:themeShade="BF"/>
        </w:rPr>
        <w:t xml:space="preserve"> is rape or other sexual attacks?</w:t>
      </w:r>
    </w:p>
    <w:p w14:paraId="060B2E43" w14:textId="7E71D791" w:rsidR="00387B83" w:rsidRPr="00387B83" w:rsidRDefault="00387B83" w:rsidP="00387B83">
      <w:pPr>
        <w:shd w:val="clear" w:color="auto" w:fill="FFFFFF"/>
        <w:spacing w:after="0" w:line="240" w:lineRule="auto"/>
        <w:textAlignment w:val="baseline"/>
        <w:rPr>
          <w:color w:val="C45911" w:themeColor="accent2" w:themeShade="BF"/>
        </w:rPr>
      </w:pPr>
      <w:r w:rsidRPr="00387B83">
        <w:rPr>
          <w:color w:val="C45911" w:themeColor="accent2" w:themeShade="BF"/>
        </w:rPr>
        <w:t xml:space="preserve">Q2: How much of a problem in your </w:t>
      </w:r>
      <w:r w:rsidR="000B5EA2" w:rsidRPr="00387B83">
        <w:rPr>
          <w:color w:val="C45911" w:themeColor="accent2" w:themeShade="BF"/>
        </w:rPr>
        <w:t>neighborhood</w:t>
      </w:r>
      <w:r w:rsidR="000B5EA2">
        <w:rPr>
          <w:color w:val="C45911" w:themeColor="accent2" w:themeShade="BF"/>
        </w:rPr>
        <w:t>/village/community</w:t>
      </w:r>
      <w:r w:rsidR="000B5EA2" w:rsidRPr="00387B83">
        <w:rPr>
          <w:color w:val="C45911" w:themeColor="accent2" w:themeShade="BF"/>
        </w:rPr>
        <w:t xml:space="preserve"> </w:t>
      </w:r>
      <w:r w:rsidRPr="00387B83">
        <w:rPr>
          <w:color w:val="C45911" w:themeColor="accent2" w:themeShade="BF"/>
        </w:rPr>
        <w:t>are women or girls trading sex for money?</w:t>
      </w:r>
    </w:p>
    <w:p w14:paraId="75FA72B0" w14:textId="76346C4E" w:rsidR="00387B83" w:rsidRPr="00387B83" w:rsidRDefault="00387B83" w:rsidP="00387B83">
      <w:pPr>
        <w:shd w:val="clear" w:color="auto" w:fill="FFFFFF"/>
        <w:spacing w:after="0" w:line="240" w:lineRule="auto"/>
        <w:textAlignment w:val="baseline"/>
        <w:rPr>
          <w:color w:val="C45911" w:themeColor="accent2" w:themeShade="BF"/>
        </w:rPr>
      </w:pPr>
      <w:r w:rsidRPr="00387B83">
        <w:rPr>
          <w:color w:val="C45911" w:themeColor="accent2" w:themeShade="BF"/>
        </w:rPr>
        <w:t xml:space="preserve">Q3: How much of a problem in your </w:t>
      </w:r>
      <w:r w:rsidR="000B5EA2" w:rsidRPr="00387B83">
        <w:rPr>
          <w:color w:val="C45911" w:themeColor="accent2" w:themeShade="BF"/>
        </w:rPr>
        <w:t>neighborhood</w:t>
      </w:r>
      <w:r w:rsidR="000B5EA2">
        <w:rPr>
          <w:color w:val="C45911" w:themeColor="accent2" w:themeShade="BF"/>
        </w:rPr>
        <w:t>/village/community</w:t>
      </w:r>
      <w:r w:rsidR="000B5EA2" w:rsidRPr="00387B83">
        <w:rPr>
          <w:color w:val="C45911" w:themeColor="accent2" w:themeShade="BF"/>
        </w:rPr>
        <w:t xml:space="preserve"> </w:t>
      </w:r>
      <w:r w:rsidRPr="00387B83">
        <w:rPr>
          <w:color w:val="C45911" w:themeColor="accent2" w:themeShade="BF"/>
        </w:rPr>
        <w:t>are men or boys making unwanted sexual comments or gestures toward girls or women?</w:t>
      </w:r>
    </w:p>
    <w:p w14:paraId="240ECC8A" w14:textId="07501F50" w:rsidR="00387B83" w:rsidRPr="00387B83" w:rsidRDefault="00387B83" w:rsidP="00387B83">
      <w:pPr>
        <w:shd w:val="clear" w:color="auto" w:fill="FFFFFF"/>
        <w:spacing w:after="0" w:line="240" w:lineRule="auto"/>
        <w:textAlignment w:val="baseline"/>
        <w:rPr>
          <w:color w:val="C45911" w:themeColor="accent2" w:themeShade="BF"/>
        </w:rPr>
      </w:pPr>
      <w:r w:rsidRPr="00387B83">
        <w:rPr>
          <w:color w:val="C45911" w:themeColor="accent2" w:themeShade="BF"/>
        </w:rPr>
        <w:t xml:space="preserve">Q4: How much of a problem in your </w:t>
      </w:r>
      <w:r w:rsidR="000B5EA2" w:rsidRPr="00387B83">
        <w:rPr>
          <w:color w:val="C45911" w:themeColor="accent2" w:themeShade="BF"/>
        </w:rPr>
        <w:t>neighborhood</w:t>
      </w:r>
      <w:r w:rsidR="000B5EA2">
        <w:rPr>
          <w:color w:val="C45911" w:themeColor="accent2" w:themeShade="BF"/>
        </w:rPr>
        <w:t>/village/community</w:t>
      </w:r>
      <w:r w:rsidR="000B5EA2" w:rsidRPr="00387B83">
        <w:rPr>
          <w:color w:val="C45911" w:themeColor="accent2" w:themeShade="BF"/>
        </w:rPr>
        <w:t xml:space="preserve"> </w:t>
      </w:r>
      <w:r w:rsidRPr="00387B83">
        <w:rPr>
          <w:color w:val="C45911" w:themeColor="accent2" w:themeShade="BF"/>
        </w:rPr>
        <w:t>are men or boys hurting women or girls?</w:t>
      </w:r>
    </w:p>
    <w:p w14:paraId="66C994AF" w14:textId="77777777" w:rsidR="00387B83" w:rsidRDefault="00387B83" w:rsidP="00387B83">
      <w:pPr>
        <w:shd w:val="clear" w:color="auto" w:fill="FFFFFF"/>
        <w:spacing w:after="0" w:line="240" w:lineRule="auto"/>
        <w:ind w:left="564"/>
        <w:textAlignment w:val="baseline"/>
      </w:pPr>
      <w:r>
        <w:rPr>
          <w:rFonts w:ascii="Times New Roman" w:hAnsi="Times New Roman" w:cs="Times New Roman"/>
          <w:color w:val="333035"/>
        </w:rPr>
        <w:t> </w:t>
      </w:r>
    </w:p>
    <w:p w14:paraId="5E59F383" w14:textId="77777777" w:rsidR="00387B83" w:rsidRPr="00387B83" w:rsidRDefault="00387B83" w:rsidP="00387B83">
      <w:pPr>
        <w:shd w:val="clear" w:color="auto" w:fill="FFFFFF"/>
        <w:spacing w:after="0" w:line="240" w:lineRule="auto"/>
        <w:textAlignment w:val="baseline"/>
        <w:rPr>
          <w:color w:val="C45911" w:themeColor="accent2" w:themeShade="BF"/>
        </w:rPr>
      </w:pPr>
      <w:r w:rsidRPr="00387B83">
        <w:rPr>
          <w:color w:val="C45911" w:themeColor="accent2" w:themeShade="BF"/>
        </w:rPr>
        <w:t>Response Options:</w:t>
      </w:r>
      <w:r w:rsidRPr="00387B83">
        <w:rPr>
          <w:b/>
          <w:bCs/>
          <w:color w:val="C45911" w:themeColor="accent2" w:themeShade="BF"/>
        </w:rPr>
        <w:t xml:space="preserve">        </w:t>
      </w:r>
      <w:r w:rsidRPr="00387B83">
        <w:rPr>
          <w:color w:val="C45911" w:themeColor="accent2" w:themeShade="BF"/>
        </w:rPr>
        <w:t>Big problem = 2            Some problem = 1         No problem = 0</w:t>
      </w:r>
    </w:p>
    <w:p w14:paraId="3BDFBEAF" w14:textId="77777777" w:rsidR="00387B83" w:rsidRDefault="00387B83" w:rsidP="00387B8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i/>
          <w:iCs/>
          <w:color w:val="333035"/>
          <w:sz w:val="22"/>
          <w:szCs w:val="22"/>
          <w:bdr w:val="none" w:sz="0" w:space="0" w:color="auto" w:frame="1"/>
        </w:rPr>
        <w:t> </w:t>
      </w:r>
    </w:p>
    <w:p w14:paraId="3282BE77" w14:textId="4376F535" w:rsidR="00387B83" w:rsidRPr="00387B83" w:rsidRDefault="00387B83" w:rsidP="00387B83">
      <w:pPr>
        <w:shd w:val="clear" w:color="auto" w:fill="FFFFFF"/>
        <w:spacing w:after="0" w:line="240" w:lineRule="auto"/>
        <w:textAlignment w:val="baseline"/>
        <w:rPr>
          <w:b/>
        </w:rPr>
      </w:pPr>
      <w:r w:rsidRPr="00387B83">
        <w:rPr>
          <w:b/>
          <w:color w:val="C45911" w:themeColor="accent2" w:themeShade="BF"/>
        </w:rPr>
        <w:t>Indicator 2: Coercive sexual environment victimization scale</w:t>
      </w:r>
    </w:p>
    <w:p w14:paraId="12923C0E" w14:textId="2C7A3E0B" w:rsidR="00387B83" w:rsidRPr="00387B83" w:rsidRDefault="00387B83" w:rsidP="00387B83">
      <w:pPr>
        <w:shd w:val="clear" w:color="auto" w:fill="FFFFFF"/>
        <w:spacing w:after="0" w:line="240" w:lineRule="auto"/>
        <w:textAlignment w:val="baseline"/>
        <w:rPr>
          <w:color w:val="C45911" w:themeColor="accent2" w:themeShade="BF"/>
        </w:rPr>
      </w:pPr>
      <w:r w:rsidRPr="00387B83">
        <w:rPr>
          <w:color w:val="C45911" w:themeColor="accent2" w:themeShade="BF"/>
        </w:rPr>
        <w:t>Q</w:t>
      </w:r>
      <w:r w:rsidR="00722F5B">
        <w:rPr>
          <w:color w:val="C45911" w:themeColor="accent2" w:themeShade="BF"/>
        </w:rPr>
        <w:t xml:space="preserve">5 (following </w:t>
      </w:r>
      <w:r>
        <w:rPr>
          <w:color w:val="C45911" w:themeColor="accent2" w:themeShade="BF"/>
        </w:rPr>
        <w:t>questions Q1-Q4)</w:t>
      </w:r>
      <w:r w:rsidRPr="00387B83">
        <w:rPr>
          <w:color w:val="C45911" w:themeColor="accent2" w:themeShade="BF"/>
        </w:rPr>
        <w:t>: How often in the past year, did someone make unwanted sexual comments, jokes or gestures toward you?</w:t>
      </w:r>
    </w:p>
    <w:p w14:paraId="0F16AB86" w14:textId="685EA309" w:rsidR="00387B83" w:rsidRPr="00387B83" w:rsidRDefault="00387B83" w:rsidP="00387B83">
      <w:pPr>
        <w:shd w:val="clear" w:color="auto" w:fill="FFFFFF"/>
        <w:spacing w:after="0" w:line="240" w:lineRule="auto"/>
        <w:textAlignment w:val="baseline"/>
        <w:rPr>
          <w:color w:val="C45911" w:themeColor="accent2" w:themeShade="BF"/>
        </w:rPr>
      </w:pPr>
      <w:r w:rsidRPr="00387B83">
        <w:rPr>
          <w:color w:val="C45911" w:themeColor="accent2" w:themeShade="BF"/>
        </w:rPr>
        <w:t>Q</w:t>
      </w:r>
      <w:r>
        <w:rPr>
          <w:color w:val="C45911" w:themeColor="accent2" w:themeShade="BF"/>
        </w:rPr>
        <w:t>6</w:t>
      </w:r>
      <w:r w:rsidRPr="00387B83">
        <w:rPr>
          <w:color w:val="C45911" w:themeColor="accent2" w:themeShade="BF"/>
        </w:rPr>
        <w:t>: How often in the past year did someone touch, grab, or pinch you in a sexual way that you did not want?</w:t>
      </w:r>
    </w:p>
    <w:p w14:paraId="73BEDD43" w14:textId="7AE329A6" w:rsidR="00387B83" w:rsidRPr="00387B83" w:rsidRDefault="00387B83" w:rsidP="00387B83">
      <w:pPr>
        <w:shd w:val="clear" w:color="auto" w:fill="FFFFFF"/>
        <w:spacing w:after="0" w:line="240" w:lineRule="auto"/>
        <w:textAlignment w:val="baseline"/>
        <w:rPr>
          <w:color w:val="C45911" w:themeColor="accent2" w:themeShade="BF"/>
        </w:rPr>
      </w:pPr>
      <w:r w:rsidRPr="00387B83">
        <w:rPr>
          <w:color w:val="C45911" w:themeColor="accent2" w:themeShade="BF"/>
        </w:rPr>
        <w:t>Q</w:t>
      </w:r>
      <w:r>
        <w:rPr>
          <w:color w:val="C45911" w:themeColor="accent2" w:themeShade="BF"/>
        </w:rPr>
        <w:t>7</w:t>
      </w:r>
      <w:r w:rsidRPr="00387B83">
        <w:rPr>
          <w:color w:val="C45911" w:themeColor="accent2" w:themeShade="BF"/>
        </w:rPr>
        <w:t>: How often in the past year were you afraid to go places because you were worried about being touched, harassed, or hurt in these ways?</w:t>
      </w:r>
    </w:p>
    <w:p w14:paraId="7C3B4C45" w14:textId="5D4A7A6C" w:rsidR="00387B83" w:rsidRPr="00387B83" w:rsidRDefault="00387B83" w:rsidP="00387B83">
      <w:pPr>
        <w:shd w:val="clear" w:color="auto" w:fill="FFFFFF"/>
        <w:spacing w:after="0" w:line="240" w:lineRule="auto"/>
        <w:textAlignment w:val="baseline"/>
        <w:rPr>
          <w:color w:val="C45911" w:themeColor="accent2" w:themeShade="BF"/>
        </w:rPr>
      </w:pPr>
      <w:r w:rsidRPr="00387B83">
        <w:rPr>
          <w:color w:val="C45911" w:themeColor="accent2" w:themeShade="BF"/>
        </w:rPr>
        <w:t>Q</w:t>
      </w:r>
      <w:r>
        <w:rPr>
          <w:color w:val="C45911" w:themeColor="accent2" w:themeShade="BF"/>
        </w:rPr>
        <w:t>8</w:t>
      </w:r>
      <w:r w:rsidRPr="00387B83">
        <w:rPr>
          <w:color w:val="C45911" w:themeColor="accent2" w:themeShade="BF"/>
        </w:rPr>
        <w:t>: How often in the past year did someone touch, grab, or pinch you in a sexual way that you did not want?</w:t>
      </w:r>
    </w:p>
    <w:p w14:paraId="09E9F9DE" w14:textId="0A1E044C" w:rsidR="00387B83" w:rsidRPr="00387B83" w:rsidRDefault="00387B83" w:rsidP="00387B83">
      <w:pPr>
        <w:shd w:val="clear" w:color="auto" w:fill="FFFFFF"/>
        <w:spacing w:after="0" w:line="240" w:lineRule="auto"/>
        <w:textAlignment w:val="baseline"/>
        <w:rPr>
          <w:color w:val="C45911" w:themeColor="accent2" w:themeShade="BF"/>
        </w:rPr>
      </w:pPr>
      <w:r w:rsidRPr="00387B83">
        <w:rPr>
          <w:color w:val="C45911" w:themeColor="accent2" w:themeShade="BF"/>
        </w:rPr>
        <w:t>Q</w:t>
      </w:r>
      <w:r>
        <w:rPr>
          <w:color w:val="C45911" w:themeColor="accent2" w:themeShade="BF"/>
        </w:rPr>
        <w:t>9</w:t>
      </w:r>
      <w:r w:rsidRPr="00387B83">
        <w:rPr>
          <w:color w:val="C45911" w:themeColor="accent2" w:themeShade="BF"/>
        </w:rPr>
        <w:t>: How often in the past year were you afraid to go places because you were worried about being touched, harassed, or hurt in these ways?</w:t>
      </w:r>
    </w:p>
    <w:p w14:paraId="7023646E" w14:textId="77777777" w:rsidR="00387B83" w:rsidRDefault="00387B83" w:rsidP="00387B8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rStyle w:val="Strong"/>
          <w:b w:val="0"/>
          <w:bCs w:val="0"/>
          <w:i/>
          <w:iCs/>
          <w:sz w:val="22"/>
          <w:szCs w:val="22"/>
          <w:bdr w:val="none" w:sz="0" w:space="0" w:color="auto" w:frame="1"/>
        </w:rPr>
        <w:t> </w:t>
      </w:r>
    </w:p>
    <w:p w14:paraId="18D0C54D" w14:textId="77777777" w:rsidR="00387B83" w:rsidRPr="00387B83" w:rsidRDefault="00387B83" w:rsidP="00387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</w:pPr>
      <w:r w:rsidRPr="004A44D5"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  <w:t>Response Options:         Every day=2                 1-2x a week =1            Twice a month or more = 0</w:t>
      </w:r>
    </w:p>
    <w:p w14:paraId="3926D830" w14:textId="616D4D31" w:rsidR="00383E4F" w:rsidRDefault="00387B83" w:rsidP="00387B8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rStyle w:val="Strong"/>
          <w:b w:val="0"/>
          <w:bCs w:val="0"/>
          <w:i/>
          <w:iCs/>
          <w:color w:val="333035"/>
          <w:sz w:val="22"/>
          <w:szCs w:val="22"/>
          <w:bdr w:val="none" w:sz="0" w:space="0" w:color="auto" w:frame="1"/>
        </w:rPr>
        <w:t> </w:t>
      </w:r>
    </w:p>
    <w:p w14:paraId="65828123" w14:textId="020AE11D" w:rsidR="00E42624" w:rsidRDefault="00E42624" w:rsidP="00C420DE">
      <w:pPr>
        <w:tabs>
          <w:tab w:val="left" w:pos="900"/>
        </w:tabs>
        <w:ind w:left="810"/>
      </w:pPr>
      <w:r>
        <w:t>4.1.1</w:t>
      </w:r>
      <w:r w:rsidR="00264A83">
        <w:t xml:space="preserve"> </w:t>
      </w:r>
      <w:r w:rsidR="00D00F57">
        <w:t xml:space="preserve">If requesting multiple questions, please specify the relative priority of each new question. </w:t>
      </w:r>
    </w:p>
    <w:p w14:paraId="54B6C061" w14:textId="3C051B61" w:rsidR="00ED6D89" w:rsidRDefault="00DF4DC1" w:rsidP="004A44D5">
      <w:pPr>
        <w:shd w:val="clear" w:color="auto" w:fill="FFFFFF"/>
        <w:spacing w:after="0" w:line="240" w:lineRule="auto"/>
        <w:textAlignment w:val="baseline"/>
        <w:rPr>
          <w:color w:val="C45911" w:themeColor="accent2" w:themeShade="BF"/>
        </w:rPr>
      </w:pPr>
      <w:r>
        <w:rPr>
          <w:color w:val="C45911" w:themeColor="accent2" w:themeShade="BF"/>
        </w:rPr>
        <w:t>The proposed indicators are two subscales of the same scale</w:t>
      </w:r>
      <w:r w:rsidR="004A44D5" w:rsidRPr="004A44D5">
        <w:rPr>
          <w:color w:val="C45911" w:themeColor="accent2" w:themeShade="BF"/>
        </w:rPr>
        <w:t>.</w:t>
      </w:r>
      <w:r>
        <w:rPr>
          <w:color w:val="C45911" w:themeColor="accent2" w:themeShade="BF"/>
        </w:rPr>
        <w:t xml:space="preserve">  Both are key, but if one had to be prioritized, the victimization scale would be of greater importance in measuring actual harassment. </w:t>
      </w:r>
    </w:p>
    <w:p w14:paraId="493E7ABC" w14:textId="77777777" w:rsidR="004A44D5" w:rsidRPr="004A44D5" w:rsidRDefault="004A44D5" w:rsidP="004A44D5">
      <w:pPr>
        <w:shd w:val="clear" w:color="auto" w:fill="FFFFFF"/>
        <w:spacing w:after="0" w:line="240" w:lineRule="auto"/>
        <w:textAlignment w:val="baseline"/>
        <w:rPr>
          <w:color w:val="C45911" w:themeColor="accent2" w:themeShade="BF"/>
        </w:rPr>
      </w:pPr>
    </w:p>
    <w:p w14:paraId="24342D71" w14:textId="4FB244D9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264A83">
        <w:t>.2</w:t>
      </w:r>
      <w:r w:rsidR="00C420DE">
        <w:t>.</w:t>
      </w:r>
      <w:r w:rsidR="00D00F57">
        <w:t xml:space="preserve"> </w:t>
      </w:r>
      <w:r w:rsidR="00264A83">
        <w:tab/>
      </w:r>
      <w:r w:rsidR="00D00F57" w:rsidRPr="00D00F57">
        <w:rPr>
          <w:b/>
        </w:rPr>
        <w:t>For revisions to existing questions</w:t>
      </w:r>
      <w:r w:rsidR="00CE7ABE">
        <w:t>: P</w:t>
      </w:r>
      <w:r w:rsidR="00D00F57">
        <w:t>lease specify the DHS-7 question number, the proposed revision to the question, and the rationale.</w:t>
      </w:r>
    </w:p>
    <w:tbl>
      <w:tblPr>
        <w:tblStyle w:val="TableGrid"/>
        <w:tblW w:w="8905" w:type="dxa"/>
        <w:tblInd w:w="540" w:type="dxa"/>
        <w:tblLook w:val="04A0" w:firstRow="1" w:lastRow="0" w:firstColumn="1" w:lastColumn="0" w:noHBand="0" w:noVBand="1"/>
      </w:tblPr>
      <w:tblGrid>
        <w:gridCol w:w="1075"/>
        <w:gridCol w:w="2520"/>
        <w:gridCol w:w="2520"/>
        <w:gridCol w:w="2790"/>
      </w:tblGrid>
      <w:tr w:rsidR="00D45347" w14:paraId="6BF1C8EB" w14:textId="77777777" w:rsidTr="00220325">
        <w:tc>
          <w:tcPr>
            <w:tcW w:w="1075" w:type="dxa"/>
            <w:shd w:val="clear" w:color="auto" w:fill="BFBFBF" w:themeFill="background1" w:themeFillShade="BF"/>
            <w:vAlign w:val="bottom"/>
          </w:tcPr>
          <w:p w14:paraId="5207F3C1" w14:textId="7FB5288E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 number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161F0BAE" w14:textId="4D6B8724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</w:t>
            </w:r>
            <w:r w:rsidR="00CE7ABE" w:rsidRPr="00220325">
              <w:rPr>
                <w:b/>
              </w:rPr>
              <w:t xml:space="preserve"> text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400FE083" w14:textId="2EF328C1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Proposed new question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bottom"/>
          </w:tcPr>
          <w:p w14:paraId="3C24D450" w14:textId="328849E2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Rationale</w:t>
            </w:r>
          </w:p>
        </w:tc>
      </w:tr>
      <w:tr w:rsidR="00C420DE" w14:paraId="7FC127B7" w14:textId="77777777" w:rsidTr="00D45347">
        <w:tc>
          <w:tcPr>
            <w:tcW w:w="1075" w:type="dxa"/>
          </w:tcPr>
          <w:p w14:paraId="7275D090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  <w:p w14:paraId="1E2976C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35B5C0A1" w14:textId="2CCF0CC4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8ABB1A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DCA8931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DFDE18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37643701" w14:textId="77777777" w:rsidTr="00D45347">
        <w:tc>
          <w:tcPr>
            <w:tcW w:w="1075" w:type="dxa"/>
          </w:tcPr>
          <w:p w14:paraId="1A9995AF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344A889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1D05D859" w14:textId="11102AE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4498B8D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47B631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C94113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104E3C2E" w14:textId="77777777" w:rsidTr="00D45347">
        <w:tc>
          <w:tcPr>
            <w:tcW w:w="1075" w:type="dxa"/>
          </w:tcPr>
          <w:p w14:paraId="5CF347EB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2F2B220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1AA8303" w14:textId="7C1AE75F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570AEF5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EF4AE91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BD9DF0A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9AA5D7" w14:textId="77777777" w:rsidTr="00D45347">
        <w:tc>
          <w:tcPr>
            <w:tcW w:w="1075" w:type="dxa"/>
          </w:tcPr>
          <w:p w14:paraId="32AD46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76BC43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47519DCA" w14:textId="3C7F94A8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11F2B9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3D83E8F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9E4D3B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16FC0ADC" w14:textId="77777777" w:rsidTr="00D45347">
        <w:tc>
          <w:tcPr>
            <w:tcW w:w="1075" w:type="dxa"/>
          </w:tcPr>
          <w:p w14:paraId="5A4F11B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83BD3E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FE92B4" w14:textId="26676935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24EA9E8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6ED8EAB1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2B0781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247DA4" w14:textId="77777777" w:rsidTr="00D45347">
        <w:tc>
          <w:tcPr>
            <w:tcW w:w="1075" w:type="dxa"/>
          </w:tcPr>
          <w:p w14:paraId="5F375F8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29118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53489667" w14:textId="6A588FCA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2BEC084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AEC4C4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6377F8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</w:tbl>
    <w:p w14:paraId="358F50EA" w14:textId="3BC1157D" w:rsidR="00D00F57" w:rsidRDefault="00D00F57" w:rsidP="008A5148">
      <w:pPr>
        <w:tabs>
          <w:tab w:val="left" w:pos="810"/>
        </w:tabs>
      </w:pPr>
    </w:p>
    <w:p w14:paraId="5CCD54F9" w14:textId="7CF7585B" w:rsidR="00383E4F" w:rsidRDefault="00E42624" w:rsidP="004A44D5">
      <w:pPr>
        <w:tabs>
          <w:tab w:val="left" w:pos="810"/>
        </w:tabs>
        <w:ind w:left="810" w:hanging="450"/>
      </w:pPr>
      <w:r>
        <w:t>4</w:t>
      </w:r>
      <w:r w:rsidR="00D00F57">
        <w:t>.</w:t>
      </w:r>
      <w:r w:rsidR="008A5148">
        <w:t>3</w:t>
      </w:r>
      <w:r w:rsidR="00C420DE">
        <w:t>.</w:t>
      </w:r>
      <w:r w:rsidR="00D00F57">
        <w:t xml:space="preserve"> </w:t>
      </w:r>
      <w:r w:rsidR="00264A83">
        <w:tab/>
      </w:r>
      <w:r w:rsidR="00D00F57" w:rsidRPr="009D1D04">
        <w:rPr>
          <w:b/>
        </w:rPr>
        <w:t xml:space="preserve">For </w:t>
      </w:r>
      <w:r w:rsidR="00DA1513">
        <w:rPr>
          <w:b/>
        </w:rPr>
        <w:t xml:space="preserve">anthropometry and </w:t>
      </w:r>
      <w:r w:rsidR="00D00F57" w:rsidRPr="009D1D04">
        <w:rPr>
          <w:b/>
        </w:rPr>
        <w:t>biomarkers</w:t>
      </w:r>
      <w:r w:rsidR="00D00F57">
        <w:t xml:space="preserve">: </w:t>
      </w:r>
      <w:r w:rsidR="00987251">
        <w:t xml:space="preserve">Please </w:t>
      </w:r>
      <w:r w:rsidR="00D00F57">
        <w:t xml:space="preserve">describe the </w:t>
      </w:r>
      <w:r w:rsidR="00DA1513">
        <w:t xml:space="preserve">measurement procedures or </w:t>
      </w:r>
      <w:r w:rsidR="00D00F57">
        <w:t xml:space="preserve">specimen collection </w:t>
      </w:r>
      <w:r w:rsidR="00DA1513">
        <w:t>procedures, point-of-care or laboratory testing</w:t>
      </w:r>
      <w:r w:rsidR="00D00F57">
        <w:t xml:space="preserve"> procedures</w:t>
      </w:r>
      <w:r w:rsidR="00DA1513">
        <w:t xml:space="preserve"> (as relevant), and any</w:t>
      </w:r>
      <w:r w:rsidR="00D00F57">
        <w:t xml:space="preserve"> recommendations for return of results.</w:t>
      </w:r>
    </w:p>
    <w:p w14:paraId="1E778809" w14:textId="4225A8C4" w:rsidR="00383E4F" w:rsidRDefault="00383E4F" w:rsidP="00220325"/>
    <w:p w14:paraId="0E73E448" w14:textId="0AC24846" w:rsidR="00383E4F" w:rsidRDefault="00ED6D89" w:rsidP="004A44D5">
      <w:pPr>
        <w:tabs>
          <w:tab w:val="left" w:pos="360"/>
        </w:tabs>
        <w:ind w:left="360" w:hanging="360"/>
      </w:pPr>
      <w:r>
        <w:t>5.</w:t>
      </w:r>
      <w:r>
        <w:tab/>
      </w:r>
      <w:r w:rsidR="00D00F57">
        <w:t>Can any related questions be deleted from the questionnaire to make room for the proposed new content?</w:t>
      </w:r>
      <w:r w:rsidR="00034FA5">
        <w:t xml:space="preserve"> If so</w:t>
      </w:r>
      <w:r w:rsidR="004A44D5">
        <w:t>,</w:t>
      </w:r>
      <w:r w:rsidR="00034FA5">
        <w:t xml:space="preserve"> please specify which questions using the DHS-7 question numbers. </w:t>
      </w:r>
    </w:p>
    <w:p w14:paraId="700B3471" w14:textId="5A5B5A54" w:rsidR="00383E4F" w:rsidRPr="004A44D5" w:rsidRDefault="004A44D5" w:rsidP="00383E4F">
      <w:pPr>
        <w:rPr>
          <w:color w:val="C45911" w:themeColor="accent2" w:themeShade="BF"/>
        </w:rPr>
      </w:pPr>
      <w:r w:rsidRPr="004A44D5">
        <w:rPr>
          <w:color w:val="C45911" w:themeColor="accent2" w:themeShade="BF"/>
        </w:rPr>
        <w:t>NA</w:t>
      </w:r>
    </w:p>
    <w:p w14:paraId="75B605B2" w14:textId="64064D20" w:rsidR="00264A83" w:rsidRDefault="00ED6D89" w:rsidP="00ED6D89">
      <w:pPr>
        <w:tabs>
          <w:tab w:val="left" w:pos="360"/>
        </w:tabs>
        <w:ind w:left="360" w:hanging="360"/>
      </w:pPr>
      <w:r>
        <w:t xml:space="preserve">6. </w:t>
      </w:r>
      <w:r>
        <w:tab/>
      </w:r>
      <w:r w:rsidR="00264A83">
        <w:t>What are the implications of these requested changes on measurement of trends using DHS data?</w:t>
      </w:r>
    </w:p>
    <w:p w14:paraId="01728479" w14:textId="3CEEE2CF" w:rsidR="00BF4DFF" w:rsidRDefault="004A44D5" w:rsidP="004A44D5">
      <w:r w:rsidRPr="00444C1C">
        <w:rPr>
          <w:color w:val="C45911" w:themeColor="accent2" w:themeShade="BF"/>
        </w:rPr>
        <w:t xml:space="preserve">There is no implication on measurement of trends to adding these </w:t>
      </w:r>
      <w:r>
        <w:rPr>
          <w:color w:val="C45911" w:themeColor="accent2" w:themeShade="BF"/>
        </w:rPr>
        <w:t>two</w:t>
      </w:r>
      <w:r w:rsidRPr="00444C1C">
        <w:rPr>
          <w:color w:val="C45911" w:themeColor="accent2" w:themeShade="BF"/>
        </w:rPr>
        <w:t xml:space="preserve"> new indicators.</w:t>
      </w:r>
    </w:p>
    <w:p w14:paraId="7AE0855F" w14:textId="7E612B1D" w:rsidR="003A7733" w:rsidRDefault="003A7733" w:rsidP="00D00F57">
      <w:pPr>
        <w:pStyle w:val="Heading1"/>
        <w:rPr>
          <w:b/>
        </w:rPr>
      </w:pPr>
      <w:r>
        <w:rPr>
          <w:b/>
        </w:rPr>
        <w:t xml:space="preserve">Section IV. </w:t>
      </w:r>
      <w:r w:rsidRPr="000E1EC7">
        <w:rPr>
          <w:b/>
        </w:rPr>
        <w:t xml:space="preserve">Indicator </w:t>
      </w:r>
      <w:r>
        <w:rPr>
          <w:b/>
        </w:rPr>
        <w:t>calculation</w:t>
      </w:r>
    </w:p>
    <w:p w14:paraId="28D87280" w14:textId="77777777" w:rsidR="00244D2F" w:rsidRDefault="00244D2F" w:rsidP="00ED6D89">
      <w:pPr>
        <w:pStyle w:val="NoSpacing"/>
      </w:pPr>
    </w:p>
    <w:p w14:paraId="07DCD23D" w14:textId="63660D60" w:rsidR="00006877" w:rsidRDefault="00ED6D89" w:rsidP="00ED6D89">
      <w:pPr>
        <w:tabs>
          <w:tab w:val="left" w:pos="360"/>
        </w:tabs>
        <w:ind w:left="360" w:hanging="360"/>
      </w:pPr>
      <w:r>
        <w:t>7.</w:t>
      </w:r>
      <w:r>
        <w:tab/>
      </w:r>
      <w:r w:rsidR="000278F5">
        <w:t>I</w:t>
      </w:r>
      <w:r w:rsidR="00BE4C32">
        <w:t xml:space="preserve">ndicate how </w:t>
      </w:r>
      <w:r w:rsidR="000278F5">
        <w:t>to calculate the indicator</w:t>
      </w:r>
      <w:r w:rsidR="00264A83">
        <w:t>(s)</w:t>
      </w:r>
      <w:r w:rsidR="000278F5">
        <w:t xml:space="preserve">. Include detailed definitions of </w:t>
      </w:r>
      <w:r w:rsidR="00BE4C32">
        <w:t>the numerator and denominator</w:t>
      </w:r>
      <w:r w:rsidR="00264A83">
        <w:t xml:space="preserve"> of each individual indicator</w:t>
      </w:r>
      <w:r w:rsidR="000278F5">
        <w:t>.</w:t>
      </w:r>
      <w:r w:rsidR="00CE7ABE">
        <w:t xml:space="preserve"> If you have developed a tabulation plan for the indicator(s), please attach a file including the suggested table(s) with your submission.</w:t>
      </w:r>
    </w:p>
    <w:p w14:paraId="240B5660" w14:textId="54DF4F63" w:rsidR="00A51E7C" w:rsidRDefault="00A51E7C" w:rsidP="00A51E7C">
      <w:pPr>
        <w:rPr>
          <w:b/>
          <w:color w:val="C45911" w:themeColor="accent2" w:themeShade="BF"/>
        </w:rPr>
      </w:pPr>
      <w:r w:rsidRPr="00A51E7C">
        <w:rPr>
          <w:b/>
          <w:color w:val="C45911" w:themeColor="accent2" w:themeShade="BF"/>
        </w:rPr>
        <w:t>Indicator 1: Coercive sexual environment perception scale</w:t>
      </w:r>
    </w:p>
    <w:p w14:paraId="15F55AF0" w14:textId="0ACA7866" w:rsidR="00A51E7C" w:rsidRDefault="00FD326D" w:rsidP="00FD3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</w:pPr>
      <w:r w:rsidRPr="00FD326D"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  <w:t>Scores from all subscale items (i.e., Q1-Q4) are summed to create a scale ranging from 0 to 8, with higher scores indicating a higher perceptions of a coercive sexual environment (community).</w:t>
      </w:r>
    </w:p>
    <w:p w14:paraId="1479A671" w14:textId="1A13C4F5" w:rsidR="00FD326D" w:rsidRDefault="00FD326D" w:rsidP="00FD3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</w:pPr>
    </w:p>
    <w:p w14:paraId="0377AA79" w14:textId="09946AF2" w:rsidR="001A0926" w:rsidRDefault="001A0926" w:rsidP="00FD3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  <w:t xml:space="preserve">This score is then </w:t>
      </w:r>
      <w:r w:rsidR="006D7CF8"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  <w:t>normalized for further analysis.</w:t>
      </w:r>
    </w:p>
    <w:p w14:paraId="1DD78DC6" w14:textId="74B05299" w:rsidR="006D7CF8" w:rsidRPr="00FD326D" w:rsidRDefault="006D7CF8" w:rsidP="00FD3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</w:pPr>
    </w:p>
    <w:p w14:paraId="46435507" w14:textId="46981EB8" w:rsidR="00F1343B" w:rsidRPr="00A51E7C" w:rsidRDefault="00A51E7C" w:rsidP="00C970EB">
      <w:pPr>
        <w:rPr>
          <w:b/>
          <w:color w:val="C45911" w:themeColor="accent2" w:themeShade="BF"/>
        </w:rPr>
      </w:pPr>
      <w:r w:rsidRPr="00A51E7C">
        <w:rPr>
          <w:b/>
          <w:color w:val="C45911" w:themeColor="accent2" w:themeShade="BF"/>
        </w:rPr>
        <w:t>Indicator 2: Coercive sexual environment victimization scale</w:t>
      </w:r>
    </w:p>
    <w:p w14:paraId="3ABD6982" w14:textId="5C445C30" w:rsidR="00FD326D" w:rsidRDefault="00FD326D" w:rsidP="00FD3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</w:pPr>
      <w:r w:rsidRPr="00FD326D"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  <w:t>Scores from all subscale items (i.e., Q5-Q9) are summed to create a scale</w:t>
      </w:r>
      <w:r w:rsidR="006C506B"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  <w:t xml:space="preserve"> ranging from 0 to 10</w:t>
      </w:r>
      <w:r w:rsidRPr="00FD326D"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  <w:t>, with higher scores indicating greater exposure to sexual harassment in public spaces.</w:t>
      </w:r>
    </w:p>
    <w:p w14:paraId="549D3835" w14:textId="2E823C45" w:rsidR="006D7CF8" w:rsidRDefault="006D7CF8" w:rsidP="00FD3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</w:pPr>
    </w:p>
    <w:p w14:paraId="554EF5F0" w14:textId="4B13EF33" w:rsidR="006D7CF8" w:rsidRPr="00FD326D" w:rsidRDefault="006D7CF8" w:rsidP="00FD3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  <w:t>This score is then normalized for further analysis.</w:t>
      </w:r>
    </w:p>
    <w:p w14:paraId="24096AB0" w14:textId="77777777" w:rsidR="00383E4F" w:rsidRPr="00FD326D" w:rsidRDefault="00383E4F" w:rsidP="00FD3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C45911" w:themeColor="accent2" w:themeShade="BF"/>
          <w:sz w:val="22"/>
          <w:szCs w:val="22"/>
          <w:lang w:val="en-US" w:eastAsia="en-US"/>
        </w:rPr>
      </w:pPr>
    </w:p>
    <w:p w14:paraId="71E0A619" w14:textId="1F6B2B32" w:rsidR="00D45347" w:rsidRDefault="00ED6D89" w:rsidP="00ED6D89">
      <w:pPr>
        <w:tabs>
          <w:tab w:val="left" w:pos="360"/>
        </w:tabs>
        <w:spacing w:after="0"/>
        <w:ind w:left="360" w:hanging="360"/>
      </w:pPr>
      <w:r>
        <w:lastRenderedPageBreak/>
        <w:t xml:space="preserve">8. </w:t>
      </w:r>
      <w:r>
        <w:tab/>
      </w:r>
      <w:r w:rsidR="00D45347">
        <w:t>Is th</w:t>
      </w:r>
      <w:r w:rsidR="00A50F80">
        <w:t>e</w:t>
      </w:r>
      <w:r w:rsidR="00D45347">
        <w:t xml:space="preserve"> indicator useful when measured at the national level, or is it useful only </w:t>
      </w:r>
      <w:r w:rsidR="00F1343B">
        <w:t xml:space="preserve">when disaggregated to </w:t>
      </w:r>
      <w:r w:rsidR="00D45347">
        <w:t xml:space="preserve">specific subnational areas, such as endemicity zones or project intervention regions? </w:t>
      </w:r>
    </w:p>
    <w:p w14:paraId="493156B5" w14:textId="77777777" w:rsidR="006D6AB2" w:rsidRDefault="006D6AB2" w:rsidP="00A50F80">
      <w:pPr>
        <w:spacing w:after="0"/>
        <w:ind w:left="360"/>
        <w:rPr>
          <w:i/>
        </w:rPr>
      </w:pPr>
    </w:p>
    <w:p w14:paraId="25061223" w14:textId="2B1AD469" w:rsidR="00C970EB" w:rsidRPr="00F304C7" w:rsidRDefault="00A50F80" w:rsidP="00F304C7">
      <w:pPr>
        <w:spacing w:after="0"/>
        <w:ind w:left="360"/>
        <w:rPr>
          <w:i/>
        </w:rPr>
      </w:pPr>
      <w:r w:rsidRPr="00A50F80">
        <w:rPr>
          <w:i/>
        </w:rPr>
        <w:t>For each indicator, select one of the three options</w:t>
      </w:r>
      <w:r w:rsidR="003B03C8">
        <w:rPr>
          <w:i/>
        </w:rPr>
        <w:t xml:space="preserve"> by clicking in the appropriate box</w:t>
      </w:r>
      <w:r w:rsidRPr="00A50F80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04C7" w14:paraId="2A27C5AB" w14:textId="77777777" w:rsidTr="003B03C8"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1D0432FC" w14:textId="77777777" w:rsidR="00F304C7" w:rsidRDefault="00F304C7" w:rsidP="003B03C8">
            <w:r>
              <w:t>Indicator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2BDD16D9" w14:textId="047FC23B" w:rsidR="00F304C7" w:rsidRDefault="00F304C7" w:rsidP="00F304C7">
            <w:pPr>
              <w:jc w:val="center"/>
            </w:pPr>
            <w:r>
              <w:t xml:space="preserve">Useful </w:t>
            </w:r>
            <w:r w:rsidRPr="00FA4713">
              <w:rPr>
                <w:u w:val="single"/>
              </w:rPr>
              <w:t>only</w:t>
            </w:r>
            <w:r>
              <w:t xml:space="preserve"> for subnational endemicity zones or project intervention regions. A single estimate at the national level is </w:t>
            </w:r>
            <w:r w:rsidRPr="00FA4713">
              <w:rPr>
                <w:u w:val="single"/>
              </w:rPr>
              <w:t>not</w:t>
            </w:r>
            <w:r>
              <w:t xml:space="preserve"> meaningful.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4ACBBFC2" w14:textId="53CFB4FB" w:rsidR="00F304C7" w:rsidRDefault="00F304C7" w:rsidP="00F304C7">
            <w:pPr>
              <w:jc w:val="center"/>
            </w:pPr>
            <w:r>
              <w:t>Useful at both national and subnational regions, as sample size allows.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5B4611DA" w14:textId="1BB8E71B" w:rsidR="00F304C7" w:rsidRDefault="00F304C7" w:rsidP="00F304C7">
            <w:pPr>
              <w:jc w:val="center"/>
            </w:pPr>
            <w:r>
              <w:t>Useful only at the national level. Subnational estimates are not needed.</w:t>
            </w:r>
          </w:p>
        </w:tc>
      </w:tr>
      <w:tr w:rsidR="00F304C7" w14:paraId="2C446398" w14:textId="77777777" w:rsidTr="003B03C8">
        <w:tc>
          <w:tcPr>
            <w:tcW w:w="2337" w:type="dxa"/>
          </w:tcPr>
          <w:p w14:paraId="52D6F30F" w14:textId="6F291D09" w:rsidR="00F304C7" w:rsidRPr="004A44D5" w:rsidRDefault="004A44D5" w:rsidP="004A44D5">
            <w:pPr>
              <w:spacing w:after="160" w:line="259" w:lineRule="auto"/>
              <w:rPr>
                <w:color w:val="C45911" w:themeColor="accent2" w:themeShade="BF"/>
              </w:rPr>
            </w:pPr>
            <w:r w:rsidRPr="004A44D5">
              <w:rPr>
                <w:color w:val="C45911" w:themeColor="accent2" w:themeShade="BF"/>
              </w:rPr>
              <w:t>Indicator 1</w:t>
            </w:r>
          </w:p>
          <w:p w14:paraId="1B375A4C" w14:textId="77777777" w:rsidR="00F304C7" w:rsidRDefault="00F304C7" w:rsidP="009C5795"/>
        </w:tc>
        <w:sdt>
          <w:sdtPr>
            <w:id w:val="203167330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58FD2E7" w14:textId="2F4289D3" w:rsidR="00F304C7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23231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99AB1B8" w14:textId="6FBE65A6" w:rsidR="00F304C7" w:rsidRDefault="004A44D5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659276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EA0DCD2" w14:textId="67C44474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310A799B" w14:textId="77777777" w:rsidTr="003B03C8">
        <w:tc>
          <w:tcPr>
            <w:tcW w:w="2337" w:type="dxa"/>
          </w:tcPr>
          <w:p w14:paraId="56AD8912" w14:textId="1A76796D" w:rsidR="003B03C8" w:rsidRPr="004A44D5" w:rsidRDefault="004A44D5" w:rsidP="004A44D5">
            <w:pPr>
              <w:spacing w:after="160" w:line="259" w:lineRule="auto"/>
              <w:rPr>
                <w:color w:val="C45911" w:themeColor="accent2" w:themeShade="BF"/>
              </w:rPr>
            </w:pPr>
            <w:r w:rsidRPr="004A44D5">
              <w:rPr>
                <w:color w:val="C45911" w:themeColor="accent2" w:themeShade="BF"/>
              </w:rPr>
              <w:t>Indicator 2</w:t>
            </w:r>
          </w:p>
          <w:p w14:paraId="5A7062FC" w14:textId="77777777" w:rsidR="003B03C8" w:rsidRDefault="003B03C8" w:rsidP="003B03C8"/>
        </w:tc>
        <w:sdt>
          <w:sdtPr>
            <w:id w:val="-1110278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24924985" w14:textId="043298D7" w:rsidR="003B03C8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90938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1B1B4358" w14:textId="3ADB6BE5" w:rsidR="003B03C8" w:rsidRDefault="004A44D5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136783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FF33A24" w14:textId="471AB890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4E195906" w14:textId="77777777" w:rsidTr="003B03C8">
        <w:tc>
          <w:tcPr>
            <w:tcW w:w="2337" w:type="dxa"/>
          </w:tcPr>
          <w:p w14:paraId="79E7F2F7" w14:textId="72E3B077" w:rsidR="003B03C8" w:rsidRDefault="003B03C8" w:rsidP="003B03C8"/>
          <w:p w14:paraId="5260EEC2" w14:textId="77777777" w:rsidR="003B03C8" w:rsidRDefault="003B03C8" w:rsidP="003B03C8"/>
        </w:tc>
        <w:sdt>
          <w:sdtPr>
            <w:id w:val="5565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6BB45A39" w14:textId="306811B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185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0F61D12" w14:textId="237D632B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8" w:type="dxa"/>
            <w:vAlign w:val="center"/>
          </w:tcPr>
          <w:p w14:paraId="7CC5DF6D" w14:textId="09F764D3" w:rsidR="003B03C8" w:rsidRDefault="009C4963" w:rsidP="003B03C8">
            <w:pPr>
              <w:jc w:val="center"/>
            </w:pPr>
            <w:sdt>
              <w:sdtPr>
                <w:id w:val="-1094327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03C8" w14:paraId="4FFD2E36" w14:textId="77777777" w:rsidTr="003B03C8">
        <w:tc>
          <w:tcPr>
            <w:tcW w:w="2337" w:type="dxa"/>
          </w:tcPr>
          <w:p w14:paraId="3D792D4C" w14:textId="06DD002A" w:rsidR="003B03C8" w:rsidRDefault="003B03C8" w:rsidP="003B03C8"/>
          <w:p w14:paraId="6CCB8896" w14:textId="77777777" w:rsidR="003B03C8" w:rsidRDefault="003B03C8" w:rsidP="003B03C8"/>
        </w:tc>
        <w:sdt>
          <w:sdtPr>
            <w:id w:val="341984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5743C360" w14:textId="5F2B01D8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751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5DAB0E78" w14:textId="0FF2AF9C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053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656EE35" w14:textId="17034A87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97CBCAB" w14:textId="77777777" w:rsidTr="003B03C8">
        <w:tc>
          <w:tcPr>
            <w:tcW w:w="2337" w:type="dxa"/>
          </w:tcPr>
          <w:p w14:paraId="3EE2A7FB" w14:textId="6E301A4E" w:rsidR="003B03C8" w:rsidRDefault="003B03C8" w:rsidP="003B03C8"/>
          <w:p w14:paraId="18532446" w14:textId="77777777" w:rsidR="003B03C8" w:rsidRDefault="003B03C8" w:rsidP="003B03C8"/>
        </w:tc>
        <w:sdt>
          <w:sdtPr>
            <w:id w:val="-392421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48A34DF9" w14:textId="157DEF7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452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3BF31A4E" w14:textId="0B04068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885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844FBCC" w14:textId="47F295E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C490C48" w14:textId="77777777" w:rsidTr="003B03C8">
        <w:tc>
          <w:tcPr>
            <w:tcW w:w="2337" w:type="dxa"/>
          </w:tcPr>
          <w:p w14:paraId="115EB3D5" w14:textId="21194358" w:rsidR="003B03C8" w:rsidRDefault="003B03C8" w:rsidP="003B03C8"/>
          <w:p w14:paraId="79259F55" w14:textId="77777777" w:rsidR="003B03C8" w:rsidRDefault="003B03C8" w:rsidP="003B03C8"/>
        </w:tc>
        <w:sdt>
          <w:sdtPr>
            <w:id w:val="-2133235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35E7F7C" w14:textId="07D014B2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5396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4B4D7869" w14:textId="2876D62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7666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6112F1B" w14:textId="24204481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593759" w14:textId="77777777" w:rsidR="00BF4DFF" w:rsidRDefault="00BF4DFF" w:rsidP="00ED6D89"/>
    <w:p w14:paraId="6AE61594" w14:textId="3ADA9AC4" w:rsidR="00220325" w:rsidRPr="003B03C8" w:rsidRDefault="00D00F57" w:rsidP="00A10C26">
      <w:pPr>
        <w:pStyle w:val="Heading1"/>
        <w:rPr>
          <w:b/>
        </w:rPr>
      </w:pPr>
      <w:r>
        <w:rPr>
          <w:b/>
        </w:rPr>
        <w:t xml:space="preserve">Section </w:t>
      </w:r>
      <w:r w:rsidRPr="00702693">
        <w:rPr>
          <w:b/>
        </w:rPr>
        <w:t>V. Prior testing of the proposed question(s)</w:t>
      </w:r>
    </w:p>
    <w:p w14:paraId="09636C44" w14:textId="77777777" w:rsidR="00ED6D89" w:rsidRPr="00A10C26" w:rsidRDefault="00ED6D89" w:rsidP="00A10C26">
      <w:pPr>
        <w:pStyle w:val="NoSpacing"/>
      </w:pPr>
    </w:p>
    <w:p w14:paraId="70E3A52B" w14:textId="2719F692" w:rsidR="00D00F57" w:rsidRDefault="00282253" w:rsidP="00D749DB">
      <w:pPr>
        <w:tabs>
          <w:tab w:val="left" w:pos="360"/>
        </w:tabs>
        <w:ind w:left="360" w:hanging="360"/>
      </w:pPr>
      <w:r>
        <w:t>9</w:t>
      </w:r>
      <w:r w:rsidR="00D749DB">
        <w:t xml:space="preserve">. </w:t>
      </w:r>
      <w:r w:rsidR="00D749DB">
        <w:tab/>
      </w:r>
      <w:r w:rsidR="00D00F57">
        <w:t xml:space="preserve">Have the proposed questions undergone any formal validation; i.e., have the questions been tested against </w:t>
      </w:r>
      <w:r w:rsidR="00F1343B">
        <w:t xml:space="preserve">a </w:t>
      </w:r>
      <w:r w:rsidR="00D00F57">
        <w:t xml:space="preserve">“gold standard” to assess their accuracy? If yes, please describe how well or poorly the questions performed and/or provide a publication or report of the validation exercise (or a link). </w:t>
      </w:r>
    </w:p>
    <w:p w14:paraId="63F27F5C" w14:textId="5DD22E67" w:rsidR="00383E4F" w:rsidRPr="00FE2D59" w:rsidRDefault="00BD58B6" w:rsidP="00ED6D89">
      <w:pPr>
        <w:rPr>
          <w:color w:val="C45911" w:themeColor="accent2" w:themeShade="BF"/>
        </w:rPr>
      </w:pPr>
      <w:r w:rsidRPr="00BD58B6">
        <w:rPr>
          <w:color w:val="C45911" w:themeColor="accent2" w:themeShade="BF"/>
        </w:rPr>
        <w:t xml:space="preserve">The scales were tested for validity where associations between the two scales and well-established indicators of community violence, social disorder, and collective efficacy, in a study conducted in </w:t>
      </w:r>
      <w:r w:rsidR="006C506B">
        <w:rPr>
          <w:color w:val="C45911" w:themeColor="accent2" w:themeShade="BF"/>
        </w:rPr>
        <w:t xml:space="preserve">the </w:t>
      </w:r>
      <w:r w:rsidRPr="00BD58B6">
        <w:rPr>
          <w:color w:val="C45911" w:themeColor="accent2" w:themeShade="BF"/>
        </w:rPr>
        <w:t>USA</w:t>
      </w:r>
      <w:r>
        <w:rPr>
          <w:color w:val="C45911" w:themeColor="accent2" w:themeShade="BF"/>
        </w:rPr>
        <w:t xml:space="preserve"> </w:t>
      </w:r>
      <w:r w:rsidR="00570772">
        <w:rPr>
          <w:color w:val="C45911" w:themeColor="accent2" w:themeShade="BF"/>
        </w:rPr>
        <w:fldChar w:fldCharType="begin"/>
      </w:r>
      <w:r w:rsidR="00570772">
        <w:rPr>
          <w:color w:val="C45911" w:themeColor="accent2" w:themeShade="BF"/>
        </w:rPr>
        <w:instrText xml:space="preserve"> ADDIN EN.CITE &lt;EndNote&gt;&lt;Cite&gt;&lt;Author&gt;Popkin&lt;/Author&gt;&lt;Year&gt;2019&lt;/Year&gt;&lt;RecNum&gt;22&lt;/RecNum&gt;&lt;DisplayText&gt;&lt;style face="superscript"&gt;7&lt;/style&gt;&lt;/DisplayText&gt;&lt;record&gt;&lt;rec-number&gt;22&lt;/rec-number&gt;&lt;foreign-keys&gt;&lt;key app="EN" db-id="29wtv5f5cttp05ex2x05rrx7fa92aztva09t" timestamp="1551828251"&gt;22&lt;/key&gt;&lt;/foreign-keys&gt;&lt;ref-type name="Journal Article"&gt;17&lt;/ref-type&gt;&lt;contributors&gt;&lt;authors&gt;&lt;author&gt;Popkin, Susan&lt;/author&gt;&lt;author&gt;Hailey, Chantal&lt;/author&gt;&lt;author&gt;Zweig, Janine&lt;/author&gt;&lt;author&gt;Astone, Nan&lt;/author&gt;&lt;author&gt;Jordan, Reed&lt;/author&gt;&lt;author&gt;Gordon, Leah&lt;/author&gt;&lt;author&gt;Silverman, Jay %J Journal of interpersonal violence&lt;/author&gt;&lt;/authors&gt;&lt;/contributors&gt;&lt;titles&gt;&lt;title&gt;Coercive sexual environments: Development and validation of a scale&lt;/title&gt;&lt;/titles&gt;&lt;pages&gt;27-49&lt;/pages&gt;&lt;volume&gt;34&lt;/volume&gt;&lt;number&gt;1&lt;/number&gt;&lt;dates&gt;&lt;year&gt;2019&lt;/year&gt;&lt;/dates&gt;&lt;isbn&gt;0886-2605&lt;/isbn&gt;&lt;urls&gt;&lt;/urls&gt;&lt;/record&gt;&lt;/Cite&gt;&lt;/EndNote&gt;</w:instrText>
      </w:r>
      <w:r w:rsidR="00570772">
        <w:rPr>
          <w:color w:val="C45911" w:themeColor="accent2" w:themeShade="BF"/>
        </w:rPr>
        <w:fldChar w:fldCharType="separate"/>
      </w:r>
      <w:r w:rsidR="00570772" w:rsidRPr="00570772">
        <w:rPr>
          <w:noProof/>
          <w:color w:val="C45911" w:themeColor="accent2" w:themeShade="BF"/>
          <w:vertAlign w:val="superscript"/>
        </w:rPr>
        <w:t>7</w:t>
      </w:r>
      <w:r w:rsidR="00570772">
        <w:rPr>
          <w:color w:val="C45911" w:themeColor="accent2" w:themeShade="BF"/>
        </w:rPr>
        <w:fldChar w:fldCharType="end"/>
      </w:r>
      <w:r w:rsidRPr="00BD58B6">
        <w:rPr>
          <w:color w:val="C45911" w:themeColor="accent2" w:themeShade="BF"/>
        </w:rPr>
        <w:t>.</w:t>
      </w:r>
      <w:r w:rsidR="000B5EA2">
        <w:rPr>
          <w:color w:val="C45911" w:themeColor="accent2" w:themeShade="BF"/>
        </w:rPr>
        <w:t xml:space="preserve">  The only modification made </w:t>
      </w:r>
      <w:r w:rsidR="006C506B">
        <w:rPr>
          <w:color w:val="C45911" w:themeColor="accent2" w:themeShade="BF"/>
        </w:rPr>
        <w:t>was to change</w:t>
      </w:r>
      <w:r w:rsidR="000B5EA2">
        <w:rPr>
          <w:color w:val="C45911" w:themeColor="accent2" w:themeShade="BF"/>
        </w:rPr>
        <w:t xml:space="preserve"> “neighborhood” to “</w:t>
      </w:r>
      <w:r w:rsidR="000B5EA2" w:rsidRPr="00387B83">
        <w:rPr>
          <w:color w:val="C45911" w:themeColor="accent2" w:themeShade="BF"/>
        </w:rPr>
        <w:t>neighborhood</w:t>
      </w:r>
      <w:r w:rsidR="000B5EA2">
        <w:rPr>
          <w:color w:val="C45911" w:themeColor="accent2" w:themeShade="BF"/>
        </w:rPr>
        <w:t>/</w:t>
      </w:r>
      <w:r w:rsidR="00CC1F6D">
        <w:rPr>
          <w:color w:val="C45911" w:themeColor="accent2" w:themeShade="BF"/>
        </w:rPr>
        <w:t xml:space="preserve"> </w:t>
      </w:r>
      <w:r w:rsidR="000B5EA2">
        <w:rPr>
          <w:color w:val="C45911" w:themeColor="accent2" w:themeShade="BF"/>
        </w:rPr>
        <w:t>village/</w:t>
      </w:r>
      <w:r w:rsidR="00CC1F6D">
        <w:rPr>
          <w:color w:val="C45911" w:themeColor="accent2" w:themeShade="BF"/>
        </w:rPr>
        <w:t xml:space="preserve"> </w:t>
      </w:r>
      <w:r w:rsidR="000B5EA2">
        <w:rPr>
          <w:color w:val="C45911" w:themeColor="accent2" w:themeShade="BF"/>
        </w:rPr>
        <w:t>community”</w:t>
      </w:r>
      <w:r w:rsidR="006C506B">
        <w:rPr>
          <w:color w:val="C45911" w:themeColor="accent2" w:themeShade="BF"/>
        </w:rPr>
        <w:t xml:space="preserve">, </w:t>
      </w:r>
      <w:r w:rsidR="000B5EA2">
        <w:rPr>
          <w:color w:val="C45911" w:themeColor="accent2" w:themeShade="BF"/>
        </w:rPr>
        <w:t>to be more inclusive of different locales globally.</w:t>
      </w:r>
    </w:p>
    <w:p w14:paraId="21485925" w14:textId="4EFDF08B" w:rsidR="00D00F57" w:rsidRDefault="00D9355E" w:rsidP="00D9355E">
      <w:pPr>
        <w:tabs>
          <w:tab w:val="left" w:pos="360"/>
        </w:tabs>
        <w:ind w:left="360" w:hanging="360"/>
      </w:pPr>
      <w:r>
        <w:t>10.</w:t>
      </w:r>
      <w:r>
        <w:tab/>
      </w:r>
      <w:r w:rsidR="00D00F57">
        <w:t>Have the questions undergone any other kind of testing; e.g., cognit</w:t>
      </w:r>
      <w:r w:rsidR="00A50F80">
        <w:t>ive testing, pilot testing.</w:t>
      </w:r>
      <w:r w:rsidR="00D00F57">
        <w:t xml:space="preserve"> If so, please describe the results of the testing and/or provide a publication or report of the findings (or a link). </w:t>
      </w:r>
    </w:p>
    <w:p w14:paraId="1291EBCD" w14:textId="40125B6B" w:rsidR="00ED6D89" w:rsidRPr="00BD58B6" w:rsidRDefault="00BD58B6" w:rsidP="00ED6D89">
      <w:pPr>
        <w:rPr>
          <w:color w:val="C45911" w:themeColor="accent2" w:themeShade="BF"/>
        </w:rPr>
      </w:pPr>
      <w:r w:rsidRPr="00BD58B6">
        <w:rPr>
          <w:color w:val="C45911" w:themeColor="accent2" w:themeShade="BF"/>
        </w:rPr>
        <w:t>The scales were tested on adults residing in Washington D.C</w:t>
      </w:r>
      <w:r w:rsidR="00570772">
        <w:rPr>
          <w:color w:val="C45911" w:themeColor="accent2" w:themeShade="BF"/>
        </w:rPr>
        <w:t xml:space="preserve"> </w:t>
      </w:r>
      <w:r w:rsidR="00570772">
        <w:rPr>
          <w:color w:val="C45911" w:themeColor="accent2" w:themeShade="BF"/>
        </w:rPr>
        <w:fldChar w:fldCharType="begin"/>
      </w:r>
      <w:r w:rsidR="00570772">
        <w:rPr>
          <w:color w:val="C45911" w:themeColor="accent2" w:themeShade="BF"/>
        </w:rPr>
        <w:instrText xml:space="preserve"> ADDIN EN.CITE &lt;EndNote&gt;&lt;Cite&gt;&lt;Author&gt;Popkin&lt;/Author&gt;&lt;Year&gt;2019&lt;/Year&gt;&lt;RecNum&gt;22&lt;/RecNum&gt;&lt;DisplayText&gt;&lt;style face="superscript"&gt;7&lt;/style&gt;&lt;/DisplayText&gt;&lt;record&gt;&lt;rec-number&gt;22&lt;/rec-number&gt;&lt;foreign-keys&gt;&lt;key app="EN" db-id="29wtv5f5cttp05ex2x05rrx7fa92aztva09t" timestamp="1551828251"&gt;22&lt;/key&gt;&lt;/foreign-keys&gt;&lt;ref-type name="Journal Article"&gt;17&lt;/ref-type&gt;&lt;contributors&gt;&lt;authors&gt;&lt;author&gt;Popkin, Susan&lt;/author&gt;&lt;author&gt;Hailey, Chantal&lt;/author&gt;&lt;author&gt;Zweig, Janine&lt;/author&gt;&lt;author&gt;Astone, Nan&lt;/author&gt;&lt;author&gt;Jordan, Reed&lt;/author&gt;&lt;author&gt;Gordon, Leah&lt;/author&gt;&lt;author&gt;Silverman, Jay %J Journal of interpersonal violence&lt;/author&gt;&lt;/authors&gt;&lt;/contributors&gt;&lt;titles&gt;&lt;title&gt;Coercive sexual environments: Development and validation of a scale&lt;/title&gt;&lt;/titles&gt;&lt;pages&gt;27-49&lt;/pages&gt;&lt;volume&gt;34&lt;/volume&gt;&lt;number&gt;1&lt;/number&gt;&lt;dates&gt;&lt;year&gt;2019&lt;/year&gt;&lt;/dates&gt;&lt;isbn&gt;0886-2605&lt;/isbn&gt;&lt;urls&gt;&lt;/urls&gt;&lt;/record&gt;&lt;/Cite&gt;&lt;/EndNote&gt;</w:instrText>
      </w:r>
      <w:r w:rsidR="00570772">
        <w:rPr>
          <w:color w:val="C45911" w:themeColor="accent2" w:themeShade="BF"/>
        </w:rPr>
        <w:fldChar w:fldCharType="separate"/>
      </w:r>
      <w:r w:rsidR="00570772" w:rsidRPr="00570772">
        <w:rPr>
          <w:noProof/>
          <w:color w:val="C45911" w:themeColor="accent2" w:themeShade="BF"/>
          <w:vertAlign w:val="superscript"/>
        </w:rPr>
        <w:t>7</w:t>
      </w:r>
      <w:r w:rsidR="00570772">
        <w:rPr>
          <w:color w:val="C45911" w:themeColor="accent2" w:themeShade="BF"/>
        </w:rPr>
        <w:fldChar w:fldCharType="end"/>
      </w:r>
      <w:r w:rsidRPr="00BD58B6">
        <w:rPr>
          <w:color w:val="C45911" w:themeColor="accent2" w:themeShade="BF"/>
        </w:rPr>
        <w:t>.</w:t>
      </w:r>
    </w:p>
    <w:p w14:paraId="4805970F" w14:textId="17D6BFC3" w:rsidR="00BE4C32" w:rsidRPr="00006877" w:rsidRDefault="000E1EC7" w:rsidP="00006877">
      <w:pPr>
        <w:pStyle w:val="Heading1"/>
        <w:rPr>
          <w:b/>
        </w:rPr>
      </w:pPr>
      <w:r w:rsidRPr="00006877">
        <w:rPr>
          <w:b/>
        </w:rPr>
        <w:t xml:space="preserve">Section </w:t>
      </w:r>
      <w:r w:rsidR="009D1D04">
        <w:rPr>
          <w:b/>
        </w:rPr>
        <w:t>V</w:t>
      </w:r>
      <w:r w:rsidRPr="00006877">
        <w:rPr>
          <w:b/>
        </w:rPr>
        <w:t xml:space="preserve">I. </w:t>
      </w:r>
      <w:r w:rsidR="00264A83">
        <w:rPr>
          <w:b/>
        </w:rPr>
        <w:t>Other considerations</w:t>
      </w:r>
    </w:p>
    <w:p w14:paraId="165E8C4C" w14:textId="77777777" w:rsidR="008A0329" w:rsidRDefault="008A0329" w:rsidP="00A10C26">
      <w:pPr>
        <w:pStyle w:val="NoSpacing"/>
      </w:pPr>
    </w:p>
    <w:p w14:paraId="1335DD01" w14:textId="02E11F9B" w:rsidR="00D15788" w:rsidRDefault="00D9355E" w:rsidP="00D9355E">
      <w:pPr>
        <w:pStyle w:val="NoSpacing"/>
        <w:tabs>
          <w:tab w:val="left" w:pos="360"/>
        </w:tabs>
        <w:ind w:left="360" w:hanging="360"/>
      </w:pPr>
      <w:r>
        <w:lastRenderedPageBreak/>
        <w:t>11.</w:t>
      </w:r>
      <w:r>
        <w:tab/>
      </w:r>
      <w:r w:rsidR="00264A83">
        <w:t>Please provide information relevant to the ki</w:t>
      </w:r>
      <w:r w:rsidR="00C420DE">
        <w:t>n</w:t>
      </w:r>
      <w:r w:rsidR="00264A83">
        <w:t>ds of questions below,</w:t>
      </w:r>
      <w:r w:rsidR="008A5148" w:rsidRPr="008A5148">
        <w:t xml:space="preserve"> </w:t>
      </w:r>
      <w:r w:rsidR="008A5148">
        <w:t>and/or anything else you wish to share with us about this indicator (these indicators).</w:t>
      </w:r>
    </w:p>
    <w:p w14:paraId="25604370" w14:textId="77777777" w:rsidR="00D45347" w:rsidRDefault="00D45347" w:rsidP="00D45347">
      <w:pPr>
        <w:pStyle w:val="ListParagraph"/>
        <w:ind w:left="360"/>
      </w:pPr>
    </w:p>
    <w:p w14:paraId="73CED6FB" w14:textId="0A357E07" w:rsidR="00B96B5C" w:rsidRDefault="00D15788" w:rsidP="00D45347">
      <w:pPr>
        <w:pStyle w:val="ListParagraph"/>
        <w:numPr>
          <w:ilvl w:val="0"/>
          <w:numId w:val="20"/>
        </w:numPr>
        <w:spacing w:after="0"/>
        <w:ind w:left="360"/>
      </w:pPr>
      <w:r>
        <w:t>Describe how the d</w:t>
      </w:r>
      <w:r w:rsidR="00006877">
        <w:t xml:space="preserve">ata for this indicator </w:t>
      </w:r>
      <w:r w:rsidR="009854DE">
        <w:t xml:space="preserve">are </w:t>
      </w:r>
      <w:r w:rsidR="00006877">
        <w:t xml:space="preserve">being </w:t>
      </w:r>
      <w:r w:rsidR="00B96B5C">
        <w:t>used (</w:t>
      </w:r>
      <w:r w:rsidR="00006877">
        <w:t xml:space="preserve">or </w:t>
      </w:r>
      <w:r>
        <w:t>will be used</w:t>
      </w:r>
      <w:r w:rsidR="00B96B5C">
        <w:t>)</w:t>
      </w:r>
      <w:r>
        <w:t xml:space="preserve">. </w:t>
      </w:r>
    </w:p>
    <w:p w14:paraId="1844542A" w14:textId="5A3BF1BC" w:rsidR="00166991" w:rsidRDefault="00D15788" w:rsidP="00B62849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Are the data produced by this indicator actionable? </w:t>
      </w:r>
    </w:p>
    <w:p w14:paraId="230D279D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Who will use the data? </w:t>
      </w:r>
    </w:p>
    <w:p w14:paraId="48983862" w14:textId="5B889D73" w:rsidR="00D15788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What kinds of decisions will be made using these data? </w:t>
      </w:r>
    </w:p>
    <w:p w14:paraId="25F5AF68" w14:textId="78FE5516" w:rsidR="008D519B" w:rsidRDefault="00B71A43" w:rsidP="00D45347">
      <w:pPr>
        <w:pStyle w:val="ListParagraph"/>
        <w:numPr>
          <w:ilvl w:val="0"/>
          <w:numId w:val="16"/>
        </w:numPr>
        <w:spacing w:after="0"/>
        <w:ind w:left="360"/>
      </w:pPr>
      <w:r>
        <w:t>For what kinds of countries would the indicator(s) be most useful?</w:t>
      </w:r>
    </w:p>
    <w:p w14:paraId="77FD0806" w14:textId="5D1F1BE7" w:rsidR="00A67ECE" w:rsidRDefault="00A67ECE" w:rsidP="00D45347">
      <w:pPr>
        <w:pStyle w:val="ListParagraph"/>
        <w:numPr>
          <w:ilvl w:val="0"/>
          <w:numId w:val="20"/>
        </w:numPr>
        <w:spacing w:after="0"/>
        <w:ind w:left="360"/>
      </w:pPr>
      <w:r>
        <w:t xml:space="preserve">Does the DHS survey offer any particular advantage over other available data sources for </w:t>
      </w:r>
      <w:r w:rsidR="00950074">
        <w:t xml:space="preserve">measuring </w:t>
      </w:r>
      <w:r>
        <w:t>this indicator?</w:t>
      </w:r>
      <w:r w:rsidR="008D519B">
        <w:t xml:space="preserve"> If so, what?</w:t>
      </w:r>
    </w:p>
    <w:p w14:paraId="00EEEE04" w14:textId="4CD92BE9" w:rsidR="00A67ECE" w:rsidRPr="00BF4A11" w:rsidRDefault="00BF4A11" w:rsidP="00A77BFB">
      <w:pPr>
        <w:spacing w:after="0"/>
        <w:rPr>
          <w:color w:val="C45911" w:themeColor="accent2" w:themeShade="BF"/>
        </w:rPr>
      </w:pPr>
      <w:r w:rsidRPr="00BF4A11">
        <w:rPr>
          <w:color w:val="C45911" w:themeColor="accent2" w:themeShade="BF"/>
        </w:rPr>
        <w:t>Indicators 1 and 2 will</w:t>
      </w:r>
      <w:r>
        <w:rPr>
          <w:color w:val="C45911" w:themeColor="accent2" w:themeShade="BF"/>
        </w:rPr>
        <w:t xml:space="preserve"> offer data on assessing coercive sexual environments. These indicators can be used to monitor and track SDG 11.7 (</w:t>
      </w:r>
      <w:r w:rsidRPr="00BF4A11">
        <w:rPr>
          <w:color w:val="C45911" w:themeColor="accent2" w:themeShade="BF"/>
        </w:rPr>
        <w:t>provision of universal access to safe, inclusive and accessible, green and public spaces, in particular for women and children, older persons and persons with disabilities)</w:t>
      </w:r>
      <w:r>
        <w:rPr>
          <w:color w:val="C45911" w:themeColor="accent2" w:themeShade="BF"/>
        </w:rPr>
        <w:t>. The data will be actionable by identifying populations which need interventions to make it safer for women. The data will be used by researchers</w:t>
      </w:r>
      <w:r w:rsidR="00FE4997">
        <w:rPr>
          <w:color w:val="C45911" w:themeColor="accent2" w:themeShade="BF"/>
        </w:rPr>
        <w:t xml:space="preserve"> and</w:t>
      </w:r>
      <w:r>
        <w:rPr>
          <w:color w:val="C45911" w:themeColor="accent2" w:themeShade="BF"/>
        </w:rPr>
        <w:t xml:space="preserve"> policy makers who work in the </w:t>
      </w:r>
      <w:r w:rsidR="00FE4997">
        <w:rPr>
          <w:color w:val="C45911" w:themeColor="accent2" w:themeShade="BF"/>
        </w:rPr>
        <w:t xml:space="preserve">field of gender and women’s well-being. International research efforts aimed at identifying and understanding high-risk populations with respect to safety of women in their environment/communities can benefit from availability of the proposed data. The data will be useful for all countries globally, especially for countries with high prevalence of gender-based violence. DHS surveys are well suited for collection of such data because </w:t>
      </w:r>
      <w:r w:rsidR="008924AC">
        <w:rPr>
          <w:color w:val="C45911" w:themeColor="accent2" w:themeShade="BF"/>
        </w:rPr>
        <w:t>they</w:t>
      </w:r>
      <w:r w:rsidR="00FE4997">
        <w:rPr>
          <w:color w:val="C45911" w:themeColor="accent2" w:themeShade="BF"/>
        </w:rPr>
        <w:t xml:space="preserve"> offer an opportunity for comparable estimates of coercive </w:t>
      </w:r>
      <w:r w:rsidR="00267102">
        <w:rPr>
          <w:color w:val="C45911" w:themeColor="accent2" w:themeShade="BF"/>
        </w:rPr>
        <w:t xml:space="preserve">sexual </w:t>
      </w:r>
      <w:r w:rsidR="00FE4997">
        <w:rPr>
          <w:color w:val="C45911" w:themeColor="accent2" w:themeShade="BF"/>
        </w:rPr>
        <w:t>environment perception as well as experience.</w:t>
      </w:r>
    </w:p>
    <w:p w14:paraId="11FA4C1A" w14:textId="77777777" w:rsidR="00CE72A6" w:rsidRPr="00BF4A11" w:rsidRDefault="00CE72A6" w:rsidP="001E73BD">
      <w:pPr>
        <w:rPr>
          <w:color w:val="C45911" w:themeColor="accent2" w:themeShade="BF"/>
        </w:rPr>
      </w:pPr>
    </w:p>
    <w:p w14:paraId="057CAFFA" w14:textId="7E69329C" w:rsidR="00CE72A6" w:rsidRPr="00A77BFB" w:rsidRDefault="00A77BFB" w:rsidP="001E73BD">
      <w:pPr>
        <w:rPr>
          <w:color w:val="C45911" w:themeColor="accent2" w:themeShade="BF"/>
        </w:rPr>
      </w:pPr>
      <w:r w:rsidRPr="00A77BFB">
        <w:rPr>
          <w:color w:val="C45911" w:themeColor="accent2" w:themeShade="BF"/>
        </w:rPr>
        <w:t>References</w:t>
      </w:r>
    </w:p>
    <w:p w14:paraId="07F3B9FC" w14:textId="77777777" w:rsidR="00570772" w:rsidRPr="00A77BFB" w:rsidRDefault="00CE72A6" w:rsidP="00570772">
      <w:pPr>
        <w:pStyle w:val="EndNoteBibliography"/>
        <w:spacing w:after="0"/>
        <w:rPr>
          <w:rFonts w:asciiTheme="minorHAnsi" w:hAnsiTheme="minorHAnsi" w:cstheme="minorBidi"/>
          <w:noProof w:val="0"/>
          <w:color w:val="C45911" w:themeColor="accent2" w:themeShade="BF"/>
        </w:rPr>
      </w:pP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fldChar w:fldCharType="begin"/>
      </w: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instrText xml:space="preserve"> ADDIN EN.REFLIST </w:instrText>
      </w: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fldChar w:fldCharType="separate"/>
      </w:r>
      <w:r w:rsidR="00570772" w:rsidRPr="00A77BFB">
        <w:rPr>
          <w:rFonts w:asciiTheme="minorHAnsi" w:hAnsiTheme="minorHAnsi" w:cstheme="minorBidi"/>
          <w:noProof w:val="0"/>
          <w:color w:val="C45911" w:themeColor="accent2" w:themeShade="BF"/>
        </w:rPr>
        <w:t>1.</w:t>
      </w:r>
      <w:r w:rsidR="00570772" w:rsidRPr="00A77BFB">
        <w:rPr>
          <w:rFonts w:asciiTheme="minorHAnsi" w:hAnsiTheme="minorHAnsi" w:cstheme="minorBidi"/>
          <w:noProof w:val="0"/>
          <w:color w:val="C45911" w:themeColor="accent2" w:themeShade="BF"/>
        </w:rPr>
        <w:tab/>
        <w:t>Popkin SJ, Acs G, Smith RJCI. Understanding how place matters for kids. 2010; 22(1): 23-6.</w:t>
      </w:r>
    </w:p>
    <w:p w14:paraId="2D660638" w14:textId="77777777" w:rsidR="00570772" w:rsidRPr="00A77BFB" w:rsidRDefault="00570772" w:rsidP="00570772">
      <w:pPr>
        <w:pStyle w:val="EndNoteBibliography"/>
        <w:spacing w:after="0"/>
        <w:rPr>
          <w:rFonts w:asciiTheme="minorHAnsi" w:hAnsiTheme="minorHAnsi" w:cstheme="minorBidi"/>
          <w:noProof w:val="0"/>
          <w:color w:val="C45911" w:themeColor="accent2" w:themeShade="BF"/>
        </w:rPr>
      </w:pP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t>2.</w:t>
      </w: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tab/>
        <w:t>Popkin SJ, Leventhal T, Weismann GJUAR. Girls in the’hood: How safety affects the life chances of low-income girls. 2010; 45(6): 715-44.</w:t>
      </w:r>
    </w:p>
    <w:p w14:paraId="7F71B332" w14:textId="77777777" w:rsidR="00570772" w:rsidRPr="00A77BFB" w:rsidRDefault="00570772" w:rsidP="00570772">
      <w:pPr>
        <w:pStyle w:val="EndNoteBibliography"/>
        <w:spacing w:after="0"/>
        <w:rPr>
          <w:rFonts w:asciiTheme="minorHAnsi" w:hAnsiTheme="minorHAnsi" w:cstheme="minorBidi"/>
          <w:noProof w:val="0"/>
          <w:color w:val="C45911" w:themeColor="accent2" w:themeShade="BF"/>
        </w:rPr>
      </w:pP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t>3.</w:t>
      </w: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tab/>
        <w:t>Dominguez S, Menjivar C. Beyond individual and visible acts of violence: A framework to examine the lives of women in low-income neighborhoods.  Women's Studies International Forum; 2014: Elsevier; 2014. p. 184-95.</w:t>
      </w:r>
    </w:p>
    <w:p w14:paraId="737C38D1" w14:textId="77777777" w:rsidR="00570772" w:rsidRPr="00A77BFB" w:rsidRDefault="00570772" w:rsidP="00570772">
      <w:pPr>
        <w:pStyle w:val="EndNoteBibliography"/>
        <w:spacing w:after="0"/>
        <w:rPr>
          <w:rFonts w:asciiTheme="minorHAnsi" w:hAnsiTheme="minorHAnsi" w:cstheme="minorBidi"/>
          <w:noProof w:val="0"/>
          <w:color w:val="C45911" w:themeColor="accent2" w:themeShade="BF"/>
        </w:rPr>
      </w:pP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t>4.</w:t>
      </w: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tab/>
        <w:t>Hand JZ, Sanchez LJG, Society. Badgering or bantering? Gender differences in experience of, and reactions to, sexual harassment among US high school students. 2000; 14(6): 718-46.</w:t>
      </w:r>
    </w:p>
    <w:p w14:paraId="45CD0C5F" w14:textId="77777777" w:rsidR="00570772" w:rsidRPr="00A77BFB" w:rsidRDefault="00570772" w:rsidP="00570772">
      <w:pPr>
        <w:pStyle w:val="EndNoteBibliography"/>
        <w:spacing w:after="0"/>
        <w:rPr>
          <w:rFonts w:asciiTheme="minorHAnsi" w:hAnsiTheme="minorHAnsi" w:cstheme="minorBidi"/>
          <w:noProof w:val="0"/>
          <w:color w:val="C45911" w:themeColor="accent2" w:themeShade="BF"/>
        </w:rPr>
      </w:pP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t>5.</w:t>
      </w: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tab/>
        <w:t>Chiodo D, Wolfe DA, Crooks C, Hughes R, Jaffe PJJoAH. Impact of sexual harassment victimization by peers on subsequent adolescent victimization and adjustment: A longitudinal study. 2009; 45(3): 246-52.</w:t>
      </w:r>
    </w:p>
    <w:p w14:paraId="1CD91AD4" w14:textId="77777777" w:rsidR="00570772" w:rsidRPr="00A77BFB" w:rsidRDefault="00570772" w:rsidP="00570772">
      <w:pPr>
        <w:pStyle w:val="EndNoteBibliography"/>
        <w:spacing w:after="0"/>
        <w:rPr>
          <w:rFonts w:asciiTheme="minorHAnsi" w:hAnsiTheme="minorHAnsi" w:cstheme="minorBidi"/>
          <w:noProof w:val="0"/>
          <w:color w:val="C45911" w:themeColor="accent2" w:themeShade="BF"/>
        </w:rPr>
      </w:pP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t>6.</w:t>
      </w: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tab/>
        <w:t>Nekatibeb TJAA, Ethiopia: A case study of dropouts from the Amhara, Ethiopia Ori. Low participation of female students in primary education. 2002.</w:t>
      </w:r>
    </w:p>
    <w:p w14:paraId="6D63E429" w14:textId="77777777" w:rsidR="00570772" w:rsidRPr="00A77BFB" w:rsidRDefault="00570772" w:rsidP="00570772">
      <w:pPr>
        <w:pStyle w:val="EndNoteBibliography"/>
        <w:rPr>
          <w:rFonts w:asciiTheme="minorHAnsi" w:hAnsiTheme="minorHAnsi" w:cstheme="minorBidi"/>
          <w:noProof w:val="0"/>
          <w:color w:val="C45911" w:themeColor="accent2" w:themeShade="BF"/>
        </w:rPr>
      </w:pP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t>7.</w:t>
      </w:r>
      <w:r w:rsidRPr="00A77BFB">
        <w:rPr>
          <w:rFonts w:asciiTheme="minorHAnsi" w:hAnsiTheme="minorHAnsi" w:cstheme="minorBidi"/>
          <w:noProof w:val="0"/>
          <w:color w:val="C45911" w:themeColor="accent2" w:themeShade="BF"/>
        </w:rPr>
        <w:tab/>
        <w:t>Popkin S, Hailey C, Zweig J, et al. Coercive sexual environments: Development and validation of a scale. 2019; 34(1): 27-49.</w:t>
      </w:r>
    </w:p>
    <w:p w14:paraId="3021623C" w14:textId="72C1031F" w:rsidR="00FC2ECE" w:rsidRPr="00A77BFB" w:rsidRDefault="00CE72A6" w:rsidP="001E73BD">
      <w:pPr>
        <w:rPr>
          <w:color w:val="C45911" w:themeColor="accent2" w:themeShade="BF"/>
        </w:rPr>
      </w:pPr>
      <w:r w:rsidRPr="00A77BFB">
        <w:rPr>
          <w:color w:val="C45911" w:themeColor="accent2" w:themeShade="BF"/>
        </w:rPr>
        <w:fldChar w:fldCharType="end"/>
      </w:r>
    </w:p>
    <w:sectPr w:rsidR="00FC2ECE" w:rsidRPr="00A77BFB" w:rsidSect="00034FA5">
      <w:footerReference w:type="default" r:id="rId12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55567" w14:textId="77777777" w:rsidR="009C4963" w:rsidRDefault="009C4963" w:rsidP="00034FA5">
      <w:pPr>
        <w:spacing w:after="0" w:line="240" w:lineRule="auto"/>
      </w:pPr>
      <w:r>
        <w:separator/>
      </w:r>
    </w:p>
  </w:endnote>
  <w:endnote w:type="continuationSeparator" w:id="0">
    <w:p w14:paraId="0CD08AD9" w14:textId="77777777" w:rsidR="009C4963" w:rsidRDefault="009C4963" w:rsidP="0003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8DFA" w14:textId="63F8D3A2" w:rsidR="00034FA5" w:rsidRDefault="00034FA5">
    <w:pPr>
      <w:pStyle w:val="Footer"/>
      <w:jc w:val="right"/>
    </w:pPr>
    <w:r>
      <w:t xml:space="preserve">Requests for revisions – Page </w:t>
    </w:r>
    <w:sdt>
      <w:sdtPr>
        <w:id w:val="-17342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370">
          <w:rPr>
            <w:noProof/>
          </w:rPr>
          <w:t>1</w:t>
        </w:r>
        <w:r>
          <w:rPr>
            <w:noProof/>
          </w:rPr>
          <w:fldChar w:fldCharType="end"/>
        </w:r>
        <w:r w:rsidR="00C551ED">
          <w:rPr>
            <w:noProof/>
          </w:rPr>
          <w:t xml:space="preserve"> of </w:t>
        </w:r>
        <w:r w:rsidR="00C551ED">
          <w:rPr>
            <w:noProof/>
          </w:rPr>
          <w:fldChar w:fldCharType="begin"/>
        </w:r>
        <w:r w:rsidR="00C551ED">
          <w:rPr>
            <w:noProof/>
          </w:rPr>
          <w:instrText xml:space="preserve"> NUMPAGES   \* MERGEFORMAT </w:instrText>
        </w:r>
        <w:r w:rsidR="00C551ED">
          <w:rPr>
            <w:noProof/>
          </w:rPr>
          <w:fldChar w:fldCharType="separate"/>
        </w:r>
        <w:r w:rsidR="00B67370">
          <w:rPr>
            <w:noProof/>
          </w:rPr>
          <w:t>5</w:t>
        </w:r>
        <w:r w:rsidR="00C551ED">
          <w:rPr>
            <w:noProof/>
          </w:rPr>
          <w:fldChar w:fldCharType="end"/>
        </w:r>
      </w:sdtContent>
    </w:sdt>
  </w:p>
  <w:p w14:paraId="509E4961" w14:textId="223D8C85" w:rsidR="00034FA5" w:rsidRDefault="00034FA5" w:rsidP="00034F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D137E" w14:textId="77777777" w:rsidR="009C4963" w:rsidRDefault="009C4963" w:rsidP="00034FA5">
      <w:pPr>
        <w:spacing w:after="0" w:line="240" w:lineRule="auto"/>
      </w:pPr>
      <w:r>
        <w:separator/>
      </w:r>
    </w:p>
  </w:footnote>
  <w:footnote w:type="continuationSeparator" w:id="0">
    <w:p w14:paraId="0BF79720" w14:textId="77777777" w:rsidR="009C4963" w:rsidRDefault="009C4963" w:rsidP="0003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73A"/>
    <w:multiLevelType w:val="hybridMultilevel"/>
    <w:tmpl w:val="4AE0C51A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14FF"/>
    <w:multiLevelType w:val="hybridMultilevel"/>
    <w:tmpl w:val="6846D8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884"/>
    <w:multiLevelType w:val="hybridMultilevel"/>
    <w:tmpl w:val="5D32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BF3"/>
    <w:multiLevelType w:val="hybridMultilevel"/>
    <w:tmpl w:val="4FAAA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C24DD9"/>
    <w:multiLevelType w:val="hybridMultilevel"/>
    <w:tmpl w:val="27541944"/>
    <w:lvl w:ilvl="0" w:tplc="5470AD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40C3"/>
    <w:multiLevelType w:val="hybridMultilevel"/>
    <w:tmpl w:val="E776340C"/>
    <w:lvl w:ilvl="0" w:tplc="1736B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630E"/>
    <w:multiLevelType w:val="hybridMultilevel"/>
    <w:tmpl w:val="964E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B3D25"/>
    <w:multiLevelType w:val="hybridMultilevel"/>
    <w:tmpl w:val="CB1EF6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DC4397"/>
    <w:multiLevelType w:val="hybridMultilevel"/>
    <w:tmpl w:val="5DA4AFE0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0FB"/>
    <w:multiLevelType w:val="hybridMultilevel"/>
    <w:tmpl w:val="AF24AA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CC1D4C"/>
    <w:multiLevelType w:val="hybridMultilevel"/>
    <w:tmpl w:val="5FBAE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0D70"/>
    <w:multiLevelType w:val="hybridMultilevel"/>
    <w:tmpl w:val="579C5A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0802"/>
    <w:multiLevelType w:val="hybridMultilevel"/>
    <w:tmpl w:val="0B7E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C0A99"/>
    <w:multiLevelType w:val="multilevel"/>
    <w:tmpl w:val="6EDA1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B7AFB"/>
    <w:multiLevelType w:val="hybridMultilevel"/>
    <w:tmpl w:val="A5E24CC8"/>
    <w:lvl w:ilvl="0" w:tplc="FD80DC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594F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54947"/>
    <w:multiLevelType w:val="hybridMultilevel"/>
    <w:tmpl w:val="E3663E9A"/>
    <w:lvl w:ilvl="0" w:tplc="7FF2DDD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C856C7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1114F"/>
    <w:multiLevelType w:val="multilevel"/>
    <w:tmpl w:val="50D4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10140"/>
    <w:multiLevelType w:val="hybridMultilevel"/>
    <w:tmpl w:val="5CC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304B8"/>
    <w:multiLevelType w:val="hybridMultilevel"/>
    <w:tmpl w:val="81341834"/>
    <w:lvl w:ilvl="0" w:tplc="1136C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F4D8B"/>
    <w:multiLevelType w:val="hybridMultilevel"/>
    <w:tmpl w:val="46187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D22D9"/>
    <w:multiLevelType w:val="hybridMultilevel"/>
    <w:tmpl w:val="539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7A13"/>
    <w:multiLevelType w:val="hybridMultilevel"/>
    <w:tmpl w:val="FE3E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E5055"/>
    <w:multiLevelType w:val="hybridMultilevel"/>
    <w:tmpl w:val="289C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C7709"/>
    <w:multiLevelType w:val="hybridMultilevel"/>
    <w:tmpl w:val="E08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D26F2"/>
    <w:multiLevelType w:val="hybridMultilevel"/>
    <w:tmpl w:val="3A68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9"/>
  </w:num>
  <w:num w:numId="5">
    <w:abstractNumId w:val="19"/>
  </w:num>
  <w:num w:numId="6">
    <w:abstractNumId w:val="3"/>
  </w:num>
  <w:num w:numId="7">
    <w:abstractNumId w:val="7"/>
  </w:num>
  <w:num w:numId="8">
    <w:abstractNumId w:val="16"/>
  </w:num>
  <w:num w:numId="9">
    <w:abstractNumId w:val="24"/>
  </w:num>
  <w:num w:numId="10">
    <w:abstractNumId w:val="2"/>
  </w:num>
  <w:num w:numId="11">
    <w:abstractNumId w:val="25"/>
  </w:num>
  <w:num w:numId="12">
    <w:abstractNumId w:val="26"/>
  </w:num>
  <w:num w:numId="13">
    <w:abstractNumId w:val="14"/>
  </w:num>
  <w:num w:numId="14">
    <w:abstractNumId w:val="4"/>
  </w:num>
  <w:num w:numId="15">
    <w:abstractNumId w:val="22"/>
  </w:num>
  <w:num w:numId="16">
    <w:abstractNumId w:val="12"/>
  </w:num>
  <w:num w:numId="17">
    <w:abstractNumId w:val="17"/>
  </w:num>
  <w:num w:numId="18">
    <w:abstractNumId w:val="0"/>
  </w:num>
  <w:num w:numId="19">
    <w:abstractNumId w:val="8"/>
  </w:num>
  <w:num w:numId="20">
    <w:abstractNumId w:val="6"/>
  </w:num>
  <w:num w:numId="21">
    <w:abstractNumId w:val="5"/>
  </w:num>
  <w:num w:numId="22">
    <w:abstractNumId w:val="20"/>
  </w:num>
  <w:num w:numId="23">
    <w:abstractNumId w:val="15"/>
  </w:num>
  <w:num w:numId="24">
    <w:abstractNumId w:val="11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wtv5f5cttp05ex2x05rrx7fa92aztva09t&quot;&gt;newlib&lt;record-ids&gt;&lt;item&gt;15&lt;/item&gt;&lt;item&gt;16&lt;/item&gt;&lt;item&gt;18&lt;/item&gt;&lt;item&gt;19&lt;/item&gt;&lt;item&gt;20&lt;/item&gt;&lt;item&gt;21&lt;/item&gt;&lt;item&gt;22&lt;/item&gt;&lt;/record-ids&gt;&lt;/item&gt;&lt;/Libraries&gt;"/>
  </w:docVars>
  <w:rsids>
    <w:rsidRoot w:val="00FC2ECE"/>
    <w:rsid w:val="00006877"/>
    <w:rsid w:val="000278F5"/>
    <w:rsid w:val="00034FA5"/>
    <w:rsid w:val="00072DBC"/>
    <w:rsid w:val="000763CC"/>
    <w:rsid w:val="000B2790"/>
    <w:rsid w:val="000B5EA2"/>
    <w:rsid w:val="000C5949"/>
    <w:rsid w:val="000E1EC7"/>
    <w:rsid w:val="00103EE0"/>
    <w:rsid w:val="00107628"/>
    <w:rsid w:val="0011742D"/>
    <w:rsid w:val="00123FA0"/>
    <w:rsid w:val="00166991"/>
    <w:rsid w:val="001A0926"/>
    <w:rsid w:val="001C34C8"/>
    <w:rsid w:val="001E73BD"/>
    <w:rsid w:val="00217BCF"/>
    <w:rsid w:val="00220325"/>
    <w:rsid w:val="0022159F"/>
    <w:rsid w:val="00244D2F"/>
    <w:rsid w:val="00264A83"/>
    <w:rsid w:val="00267102"/>
    <w:rsid w:val="00282253"/>
    <w:rsid w:val="003528E7"/>
    <w:rsid w:val="00383E4F"/>
    <w:rsid w:val="00387B83"/>
    <w:rsid w:val="003A7733"/>
    <w:rsid w:val="003B03C8"/>
    <w:rsid w:val="003D45B0"/>
    <w:rsid w:val="003F1B60"/>
    <w:rsid w:val="0040148E"/>
    <w:rsid w:val="00424E6D"/>
    <w:rsid w:val="004A44D5"/>
    <w:rsid w:val="004D4BBC"/>
    <w:rsid w:val="004F3DF6"/>
    <w:rsid w:val="00510943"/>
    <w:rsid w:val="00570772"/>
    <w:rsid w:val="00594947"/>
    <w:rsid w:val="00614F55"/>
    <w:rsid w:val="0062753F"/>
    <w:rsid w:val="0065151E"/>
    <w:rsid w:val="00653055"/>
    <w:rsid w:val="0069638E"/>
    <w:rsid w:val="006B469E"/>
    <w:rsid w:val="006C506B"/>
    <w:rsid w:val="006D6AB2"/>
    <w:rsid w:val="006D7CF8"/>
    <w:rsid w:val="00702693"/>
    <w:rsid w:val="00722F5B"/>
    <w:rsid w:val="00733F87"/>
    <w:rsid w:val="00736F09"/>
    <w:rsid w:val="00745087"/>
    <w:rsid w:val="00776B0C"/>
    <w:rsid w:val="0079250A"/>
    <w:rsid w:val="007B0252"/>
    <w:rsid w:val="007D3C54"/>
    <w:rsid w:val="00816E1C"/>
    <w:rsid w:val="0084437E"/>
    <w:rsid w:val="00867A85"/>
    <w:rsid w:val="008924AC"/>
    <w:rsid w:val="008A0329"/>
    <w:rsid w:val="008A5148"/>
    <w:rsid w:val="008A5F92"/>
    <w:rsid w:val="008B48EE"/>
    <w:rsid w:val="008C68F9"/>
    <w:rsid w:val="008D519B"/>
    <w:rsid w:val="008E4646"/>
    <w:rsid w:val="00911980"/>
    <w:rsid w:val="00911C8F"/>
    <w:rsid w:val="00940694"/>
    <w:rsid w:val="00950074"/>
    <w:rsid w:val="009679CF"/>
    <w:rsid w:val="00980229"/>
    <w:rsid w:val="0098383F"/>
    <w:rsid w:val="009854DE"/>
    <w:rsid w:val="00987251"/>
    <w:rsid w:val="009C4963"/>
    <w:rsid w:val="009D1D04"/>
    <w:rsid w:val="009F1DB3"/>
    <w:rsid w:val="00A10C26"/>
    <w:rsid w:val="00A50F80"/>
    <w:rsid w:val="00A51E7C"/>
    <w:rsid w:val="00A65027"/>
    <w:rsid w:val="00A67ECE"/>
    <w:rsid w:val="00A77BFB"/>
    <w:rsid w:val="00A916C6"/>
    <w:rsid w:val="00AA1C8C"/>
    <w:rsid w:val="00AB04F1"/>
    <w:rsid w:val="00AE3A24"/>
    <w:rsid w:val="00AF1F6A"/>
    <w:rsid w:val="00AF4703"/>
    <w:rsid w:val="00B01ED7"/>
    <w:rsid w:val="00B62849"/>
    <w:rsid w:val="00B65DEC"/>
    <w:rsid w:val="00B67370"/>
    <w:rsid w:val="00B71A43"/>
    <w:rsid w:val="00B816BC"/>
    <w:rsid w:val="00B96B5C"/>
    <w:rsid w:val="00BD0713"/>
    <w:rsid w:val="00BD58B6"/>
    <w:rsid w:val="00BE4C32"/>
    <w:rsid w:val="00BF4A11"/>
    <w:rsid w:val="00BF4DFF"/>
    <w:rsid w:val="00C02557"/>
    <w:rsid w:val="00C420DE"/>
    <w:rsid w:val="00C551ED"/>
    <w:rsid w:val="00C970EB"/>
    <w:rsid w:val="00C9789D"/>
    <w:rsid w:val="00CB1C12"/>
    <w:rsid w:val="00CB29C5"/>
    <w:rsid w:val="00CC1F6D"/>
    <w:rsid w:val="00CC3595"/>
    <w:rsid w:val="00CC4978"/>
    <w:rsid w:val="00CE2F0A"/>
    <w:rsid w:val="00CE72A6"/>
    <w:rsid w:val="00CE7ABE"/>
    <w:rsid w:val="00D00F57"/>
    <w:rsid w:val="00D15788"/>
    <w:rsid w:val="00D17380"/>
    <w:rsid w:val="00D34E2E"/>
    <w:rsid w:val="00D35BB4"/>
    <w:rsid w:val="00D36A1D"/>
    <w:rsid w:val="00D45347"/>
    <w:rsid w:val="00D74094"/>
    <w:rsid w:val="00D749DB"/>
    <w:rsid w:val="00D9355E"/>
    <w:rsid w:val="00DA1513"/>
    <w:rsid w:val="00DB153F"/>
    <w:rsid w:val="00DE19B3"/>
    <w:rsid w:val="00DF4DC1"/>
    <w:rsid w:val="00E25128"/>
    <w:rsid w:val="00E3695A"/>
    <w:rsid w:val="00E425FF"/>
    <w:rsid w:val="00E42624"/>
    <w:rsid w:val="00E80C15"/>
    <w:rsid w:val="00E92233"/>
    <w:rsid w:val="00EA2479"/>
    <w:rsid w:val="00EB2F4E"/>
    <w:rsid w:val="00ED307C"/>
    <w:rsid w:val="00ED6D89"/>
    <w:rsid w:val="00EE48A2"/>
    <w:rsid w:val="00EF536C"/>
    <w:rsid w:val="00F1343B"/>
    <w:rsid w:val="00F304C7"/>
    <w:rsid w:val="00FA4713"/>
    <w:rsid w:val="00FC2ECE"/>
    <w:rsid w:val="00FD326D"/>
    <w:rsid w:val="00FD4CB7"/>
    <w:rsid w:val="00FE2D59"/>
    <w:rsid w:val="00FE4997"/>
    <w:rsid w:val="71D6A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1D965"/>
  <w15:chartTrackingRefBased/>
  <w15:docId w15:val="{948F5B91-FE97-4F3C-B989-E4F5031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CE"/>
  </w:style>
  <w:style w:type="paragraph" w:styleId="Heading1">
    <w:name w:val="heading 1"/>
    <w:basedOn w:val="Normal"/>
    <w:next w:val="Normal"/>
    <w:link w:val="Heading1Char"/>
    <w:uiPriority w:val="9"/>
    <w:qFormat/>
    <w:rsid w:val="000E1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ECE"/>
    <w:rPr>
      <w:color w:val="808080"/>
    </w:rPr>
  </w:style>
  <w:style w:type="paragraph" w:styleId="ListParagraph">
    <w:name w:val="List Paragraph"/>
    <w:basedOn w:val="Normal"/>
    <w:uiPriority w:val="34"/>
    <w:qFormat/>
    <w:rsid w:val="00FC2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6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A5"/>
  </w:style>
  <w:style w:type="paragraph" w:styleId="Footer">
    <w:name w:val="footer"/>
    <w:basedOn w:val="Normal"/>
    <w:link w:val="Foot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A5"/>
  </w:style>
  <w:style w:type="paragraph" w:styleId="NoSpacing">
    <w:name w:val="No Spacing"/>
    <w:uiPriority w:val="1"/>
    <w:qFormat/>
    <w:rsid w:val="003B03C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87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87B83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CE72A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72A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E72A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E72A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ADBDE965D348BA526275C6295188" ma:contentTypeVersion="476" ma:contentTypeDescription="Create a new document." ma:contentTypeScope="" ma:versionID="d87a4b079f1ed2ebf97ed91b8fa92ed4">
  <xsd:schema xmlns:xsd="http://www.w3.org/2001/XMLSchema" xmlns:xs="http://www.w3.org/2001/XMLSchema" xmlns:p="http://schemas.microsoft.com/office/2006/metadata/properties" xmlns:ns2="d16efad5-0601-4cf0-b7c2-89968258c777" xmlns:ns3="35783acc-2ba5-441d-990e-3f57567eeeff" targetNamespace="http://schemas.microsoft.com/office/2006/metadata/properties" ma:root="true" ma:fieldsID="45f6419051ec98cc80409134a6d21616" ns2:_="" ns3:_="">
    <xsd:import namespace="d16efad5-0601-4cf0-b7c2-89968258c777"/>
    <xsd:import namespace="35783acc-2ba5-441d-990e-3f57567ee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3acc-2ba5-441d-990e-3f57567ee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6efad5-0601-4cf0-b7c2-89968258c777">VMX3MACP777Z-2097639089-43</_dlc_DocId>
    <_dlc_DocIdUrl xmlns="d16efad5-0601-4cf0-b7c2-89968258c777">
      <Url>https://icfonline.sharepoint.com/sites/ihd-dhs/DHS8Qredesign/_layouts/15/DocIdRedir.aspx?ID=VMX3MACP777Z-2097639089-43</Url>
      <Description>VMX3MACP777Z-2097639089-43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8C71-0A78-4C52-983D-17469BCE9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FEDC5-7399-42FA-A9E2-3253B6C9FD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6F06E6-6638-4D43-9FD5-9C9D9E5F0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fad5-0601-4cf0-b7c2-89968258c777"/>
    <ds:schemaRef ds:uri="35783acc-2ba5-441d-990e-3f57567ee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2BFA1-5983-4416-BC0A-D709CB1137E8}">
  <ds:schemaRefs>
    <ds:schemaRef ds:uri="http://schemas.microsoft.com/office/2006/metadata/properties"/>
    <ds:schemaRef ds:uri="http://schemas.microsoft.com/office/infopath/2007/PartnerControls"/>
    <ds:schemaRef ds:uri="d16efad5-0601-4cf0-b7c2-89968258c777"/>
  </ds:schemaRefs>
</ds:datastoreItem>
</file>

<file path=customXml/itemProps5.xml><?xml version="1.0" encoding="utf-8"?>
<ds:datastoreItem xmlns:ds="http://schemas.openxmlformats.org/officeDocument/2006/customXml" ds:itemID="{9B3FD087-C3E8-476F-B2FB-F94C7763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Fishel, Joy</dc:creator>
  <cp:keywords/>
  <dc:description/>
  <cp:lastModifiedBy>Lotus P Mcdougal</cp:lastModifiedBy>
  <cp:revision>4</cp:revision>
  <dcterms:created xsi:type="dcterms:W3CDTF">2019-03-13T17:30:00Z</dcterms:created>
  <dcterms:modified xsi:type="dcterms:W3CDTF">2019-03-13T21:55:00Z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0x010100B6F5ADBDE965D348BA526275C6295188</vt:lpwstr>
  </property>
  <property fmtid="{D5CDD505-2E9C-101B-9397-08002B2CF9AE}" pid="3" name="_dlc_DocIdItemGuid">
    <vt:lpwstr>8dbce2ae-9a44-433b-9767-e215dbbf29da</vt:lpwstr>
  </property>
</Properties>
</file>