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F103" w14:textId="3A0A16EA" w:rsidR="0039410E" w:rsidRDefault="009021A3" w:rsidP="003528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Infant and young </w:t>
      </w:r>
      <w:r w:rsidR="00E031FC">
        <w:rPr>
          <w:b/>
          <w:bCs/>
          <w:sz w:val="28"/>
          <w:szCs w:val="28"/>
        </w:rPr>
        <w:t xml:space="preserve">child </w:t>
      </w:r>
      <w:bookmarkStart w:id="0" w:name="_GoBack"/>
      <w:bookmarkEnd w:id="0"/>
      <w:r>
        <w:rPr>
          <w:b/>
          <w:bCs/>
          <w:sz w:val="28"/>
          <w:szCs w:val="28"/>
        </w:rPr>
        <w:t>feeding (IYCF) counseling</w:t>
      </w:r>
      <w:r w:rsidR="000B38D7">
        <w:rPr>
          <w:b/>
          <w:bCs/>
          <w:sz w:val="28"/>
          <w:szCs w:val="28"/>
        </w:rPr>
        <w:t xml:space="preserve"> 6-23 months</w:t>
      </w:r>
    </w:p>
    <w:p w14:paraId="3672EB2A" w14:textId="77777777" w:rsidR="00922B2C" w:rsidRPr="00B8762A" w:rsidRDefault="00922B2C" w:rsidP="00922B2C">
      <w:pPr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Recommendations for inclusion in DHS-8 </w:t>
      </w:r>
      <w:r>
        <w:rPr>
          <w:b/>
          <w:bCs/>
          <w:sz w:val="28"/>
          <w:szCs w:val="28"/>
        </w:rPr>
        <w:t>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Pr="00827ABA" w:rsidRDefault="00ED6D89" w:rsidP="00ED6D89">
      <w:pPr>
        <w:tabs>
          <w:tab w:val="left" w:pos="360"/>
        </w:tabs>
        <w:ind w:left="360" w:hanging="360"/>
        <w:rPr>
          <w:b/>
        </w:rPr>
      </w:pPr>
      <w:r w:rsidRPr="00827ABA">
        <w:rPr>
          <w:b/>
        </w:rPr>
        <w:t>1.</w:t>
      </w:r>
      <w:r w:rsidRPr="00827ABA">
        <w:rPr>
          <w:b/>
        </w:rPr>
        <w:tab/>
      </w:r>
      <w:r w:rsidR="003A7733" w:rsidRPr="00827ABA">
        <w:rPr>
          <w:b/>
        </w:rPr>
        <w:t>Is this request being submitted on behalf of a group? If so, please provide the name of the group and the participating parties.</w:t>
      </w:r>
    </w:p>
    <w:p w14:paraId="5E87D846" w14:textId="68F3AC17" w:rsidR="006847EB" w:rsidRPr="001B454B" w:rsidRDefault="006847EB" w:rsidP="006847EB">
      <w:pPr>
        <w:jc w:val="both"/>
      </w:pPr>
      <w:r w:rsidRPr="00EC0E37">
        <w:t xml:space="preserve">This recommendation originated in a consultation focused on measuring coverage of programs to support breastfeeding and complementary feeding, co-convened by </w:t>
      </w:r>
      <w:hyperlink r:id="rId12" w:history="1">
        <w:r w:rsidRPr="00DD1458">
          <w:rPr>
            <w:rStyle w:val="Hyperlink"/>
          </w:rPr>
          <w:t>Alive &amp; Thrive</w:t>
        </w:r>
      </w:hyperlink>
      <w:r w:rsidRPr="00EC0E37">
        <w:t>,</w:t>
      </w:r>
      <w:r>
        <w:t xml:space="preserve"> the </w:t>
      </w:r>
      <w:hyperlink r:id="rId13" w:history="1">
        <w:r w:rsidRPr="00F7325F">
          <w:rPr>
            <w:rStyle w:val="Hyperlink"/>
          </w:rPr>
          <w:t>International Food Policy Research Institute (IFPRI)</w:t>
        </w:r>
      </w:hyperlink>
      <w:r>
        <w:t>,</w:t>
      </w:r>
      <w:r w:rsidRPr="00EC0E37">
        <w:t xml:space="preserve"> and </w:t>
      </w:r>
      <w:hyperlink r:id="rId14" w:history="1">
        <w:r w:rsidRPr="00DD1458">
          <w:rPr>
            <w:rStyle w:val="Hyperlink"/>
          </w:rPr>
          <w:t>D</w:t>
        </w:r>
        <w:r>
          <w:rPr>
            <w:rStyle w:val="Hyperlink"/>
          </w:rPr>
          <w:t>ata for Decisions to Expand Nutrition Transformation (D</w:t>
        </w:r>
        <w:r w:rsidRPr="00DD1458">
          <w:rPr>
            <w:rStyle w:val="Hyperlink"/>
          </w:rPr>
          <w:t>ataDEN</w:t>
        </w:r>
        <w:r>
          <w:rPr>
            <w:rStyle w:val="Hyperlink"/>
          </w:rPr>
          <w:t>T)</w:t>
        </w:r>
      </w:hyperlink>
      <w:r w:rsidRPr="00EC0E37">
        <w:t xml:space="preserve">. It was further discussed and endorsed at the September 2018 </w:t>
      </w:r>
      <w:hyperlink r:id="rId15" w:history="1">
        <w:r w:rsidRPr="00DD1458">
          <w:rPr>
            <w:rStyle w:val="Hyperlink"/>
          </w:rPr>
          <w:t>Technical Consultation on Measuring Nutrition in Population-Based Household Surveys and Associated Facility Assessments</w:t>
        </w:r>
      </w:hyperlink>
      <w:r w:rsidR="00957413">
        <w:t>—</w:t>
      </w:r>
      <w:r w:rsidRPr="00EC0E37">
        <w:t>a 2-day working meeting convened by the Bill &amp; Melinda Gates Foundation</w:t>
      </w:r>
      <w:r w:rsidR="006912AC">
        <w:t xml:space="preserve"> </w:t>
      </w:r>
      <w:r w:rsidRPr="00EC0E37">
        <w:t xml:space="preserve">and United States Agency for International Development in collaboration with the World Health Organization (WHO) and </w:t>
      </w:r>
      <w:bookmarkStart w:id="1" w:name="_Hlk780580"/>
      <w:r w:rsidRPr="00C73609">
        <w:t>United Nations Children's Fund</w:t>
      </w:r>
      <w:r w:rsidRPr="00CD3C7B">
        <w:t xml:space="preserve"> </w:t>
      </w:r>
      <w:bookmarkEnd w:id="1"/>
      <w:r>
        <w:t>(</w:t>
      </w:r>
      <w:r w:rsidRPr="00EC0E37">
        <w:t>UNICEF</w:t>
      </w:r>
      <w:r>
        <w:t>)</w:t>
      </w:r>
      <w:r w:rsidRPr="00EC0E37">
        <w:t xml:space="preserve">, and coordinated by DataDENT. </w:t>
      </w:r>
      <w:r w:rsidRPr="001B454B">
        <w:t>The consultation included more than 60 technical experts, survey program representatives</w:t>
      </w:r>
      <w:r>
        <w:t xml:space="preserve"> from DHS, MICS, LSMS and SMART</w:t>
      </w:r>
      <w:r w:rsidRPr="001B454B">
        <w:t>, country data stakeholders, and donors from the nutrition measurement community.</w:t>
      </w:r>
    </w:p>
    <w:p w14:paraId="02BDADBB" w14:textId="1C988FFF" w:rsidR="00894F76" w:rsidRPr="00EC0E37" w:rsidRDefault="00894F76" w:rsidP="00827ABA">
      <w:pPr>
        <w:jc w:val="both"/>
      </w:pPr>
      <w:r w:rsidRPr="00EC0E37">
        <w:t xml:space="preserve">The recommendation is also supported by a nutrition metrics working group that was previously anchored by the </w:t>
      </w:r>
      <w:hyperlink r:id="rId16" w:history="1">
        <w:r w:rsidRPr="00DD1458">
          <w:rPr>
            <w:rStyle w:val="Hyperlink"/>
          </w:rPr>
          <w:t>Countdown to 2030 initiative</w:t>
        </w:r>
      </w:hyperlink>
      <w:r w:rsidRPr="00EC0E37">
        <w:t xml:space="preserve">; this working group has co-authored a paper forthcoming in BMJ Global Health on the global gaps in nutrition coverage measurement, especially highlighting the gaps in measurement of infant feeding counseling and support interventions. </w:t>
      </w:r>
    </w:p>
    <w:p w14:paraId="21719F6C" w14:textId="74CC06C7" w:rsidR="00894F76" w:rsidRPr="00EC0E37" w:rsidRDefault="00B93497" w:rsidP="00827ABA">
      <w:pPr>
        <w:jc w:val="both"/>
      </w:pPr>
      <w:bookmarkStart w:id="2" w:name="_Hlk535568061"/>
      <w:r w:rsidRPr="00EC0E37">
        <w:t xml:space="preserve">This recommendation was authored by </w:t>
      </w:r>
      <w:r w:rsidR="009021A3" w:rsidRPr="00EC0E37">
        <w:t xml:space="preserve">IFPRI and reviewed by </w:t>
      </w:r>
      <w:r w:rsidR="00EC0E37">
        <w:t>Laurence</w:t>
      </w:r>
      <w:r w:rsidR="00EC0E37" w:rsidRPr="00430EB1">
        <w:t xml:space="preserve"> </w:t>
      </w:r>
      <w:proofErr w:type="spellStart"/>
      <w:r w:rsidR="009021A3" w:rsidRPr="00EC0E37">
        <w:t>Grummer-Strawn</w:t>
      </w:r>
      <w:proofErr w:type="spellEnd"/>
      <w:r w:rsidR="009021A3" w:rsidRPr="00EC0E37">
        <w:t xml:space="preserve"> (WHO), </w:t>
      </w:r>
      <w:r w:rsidR="000E7254" w:rsidRPr="00EC0E37">
        <w:t xml:space="preserve">Chika Hayashi (UNICEF), Vrinda Mehra (UNICEF), </w:t>
      </w:r>
      <w:r w:rsidR="009021A3" w:rsidRPr="00EC0E37">
        <w:t>Chessa Lutter (RTI), Monica Kothari (PATH), and Purnima Menon (IFPRI).</w:t>
      </w:r>
    </w:p>
    <w:bookmarkEnd w:id="2"/>
    <w:p w14:paraId="1DBB4143" w14:textId="4918AD46" w:rsidR="00116C40" w:rsidRDefault="00116C40" w:rsidP="00116C40">
      <w:pPr>
        <w:jc w:val="both"/>
      </w:pPr>
      <w:r w:rsidRPr="00702050">
        <w:t>This recommendation is endorsed by the WHO-UNICEF Technical Expert Advisory Group on Nutrition Monitoring (TEAM). Out of the 10 sets of recommendations endorsed by TEAM, this recommendation was prioritized as Tier 2 of 3 (high priority data need)</w:t>
      </w:r>
      <w:r>
        <w:t>.</w:t>
      </w:r>
    </w:p>
    <w:p w14:paraId="5E15AF23" w14:textId="77777777" w:rsidR="00025FB7" w:rsidRPr="000B2BE7" w:rsidRDefault="00025FB7" w:rsidP="00025FB7">
      <w:pPr>
        <w:spacing w:before="240" w:after="0" w:line="240" w:lineRule="auto"/>
        <w:jc w:val="both"/>
      </w:pPr>
      <w:r w:rsidRPr="00371AD3">
        <w:t>This recommendation is also endorsed by</w:t>
      </w:r>
      <w:r>
        <w:t xml:space="preserve"> Countdown to 2030, Alive &amp; Thrive,</w:t>
      </w:r>
      <w:r w:rsidRPr="00371AD3">
        <w:t xml:space="preserve"> </w:t>
      </w:r>
      <w:r>
        <w:t xml:space="preserve">Global Alliance for Improved Nutrition (GAIN), </w:t>
      </w:r>
      <w:r w:rsidRPr="00371AD3">
        <w:t xml:space="preserve">the nutrition team at the Bill &amp; Melinda Gates Foundation, </w:t>
      </w:r>
      <w:r>
        <w:t xml:space="preserve">and </w:t>
      </w:r>
      <w:r w:rsidRPr="00371AD3">
        <w:t>the Department of International Health at the Johns Hopkins Bloomberg School of Public Health</w:t>
      </w:r>
      <w:r>
        <w:t>.</w:t>
      </w:r>
    </w:p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>2</w:t>
      </w:r>
      <w:r w:rsidRPr="00827ABA">
        <w:rPr>
          <w:b/>
        </w:rPr>
        <w:t xml:space="preserve">. </w:t>
      </w:r>
      <w:r w:rsidRPr="00827ABA">
        <w:rPr>
          <w:b/>
        </w:rPr>
        <w:tab/>
      </w:r>
      <w:r w:rsidR="00FC2ECE" w:rsidRPr="00827ABA">
        <w:rPr>
          <w:b/>
        </w:rPr>
        <w:t xml:space="preserve">Please </w:t>
      </w:r>
      <w:r w:rsidR="000278F5" w:rsidRPr="00827ABA">
        <w:rPr>
          <w:b/>
        </w:rPr>
        <w:t>define</w:t>
      </w:r>
      <w:r w:rsidR="00BE4C32" w:rsidRPr="00827ABA">
        <w:rPr>
          <w:b/>
        </w:rPr>
        <w:t xml:space="preserve"> the indicator or indicators </w:t>
      </w:r>
      <w:r w:rsidR="00006877" w:rsidRPr="00827ABA">
        <w:rPr>
          <w:b/>
        </w:rPr>
        <w:t xml:space="preserve">you are requesting The DHS Program to </w:t>
      </w:r>
      <w:r w:rsidR="000278F5" w:rsidRPr="00827ABA">
        <w:rPr>
          <w:b/>
        </w:rPr>
        <w:t>incorporate</w:t>
      </w:r>
      <w:r w:rsidR="00BE4C32" w:rsidRPr="00827ABA">
        <w:rPr>
          <w:b/>
        </w:rPr>
        <w:t xml:space="preserve">. </w:t>
      </w:r>
      <w:r w:rsidR="00BE4C32" w:rsidRPr="00827ABA">
        <w:rPr>
          <w:b/>
          <w:i/>
        </w:rPr>
        <w:t xml:space="preserve">Multiple indicators derived from a single set of questions </w:t>
      </w:r>
      <w:r w:rsidR="00006877" w:rsidRPr="00827ABA">
        <w:rPr>
          <w:b/>
          <w:i/>
        </w:rPr>
        <w:t>should</w:t>
      </w:r>
      <w:r w:rsidR="00BE4C32" w:rsidRPr="00827ABA">
        <w:rPr>
          <w:b/>
          <w:i/>
        </w:rPr>
        <w:t xml:space="preserve"> b</w:t>
      </w:r>
      <w:r w:rsidR="00736F09" w:rsidRPr="00827ABA">
        <w:rPr>
          <w:b/>
          <w:i/>
        </w:rPr>
        <w:t>e included i</w:t>
      </w:r>
      <w:r w:rsidR="00BE4C32" w:rsidRPr="00827ABA">
        <w:rPr>
          <w:b/>
          <w:i/>
        </w:rPr>
        <w:t xml:space="preserve">n the same </w:t>
      </w:r>
      <w:r w:rsidR="003D45B0" w:rsidRPr="00827ABA">
        <w:rPr>
          <w:b/>
          <w:i/>
        </w:rPr>
        <w:t>submission</w:t>
      </w:r>
      <w:r w:rsidR="00006877" w:rsidRPr="00827ABA">
        <w:rPr>
          <w:b/>
          <w:i/>
        </w:rPr>
        <w:t>.</w:t>
      </w:r>
      <w:r w:rsidR="0079250A" w:rsidRPr="00827ABA">
        <w:rPr>
          <w:b/>
          <w:i/>
        </w:rPr>
        <w:t xml:space="preserve"> </w:t>
      </w:r>
      <w:r w:rsidR="0079250A" w:rsidRPr="00827ABA">
        <w:rPr>
          <w:b/>
        </w:rPr>
        <w:t>(Response required)</w:t>
      </w:r>
    </w:p>
    <w:p w14:paraId="75CAF07E" w14:textId="360A19F0" w:rsidR="00383E4F" w:rsidRPr="006A2DB8" w:rsidRDefault="00B11A57" w:rsidP="00827ABA">
      <w:pPr>
        <w:jc w:val="both"/>
      </w:pPr>
      <w:r w:rsidRPr="006A2DB8">
        <w:t xml:space="preserve">We propose </w:t>
      </w:r>
      <w:r w:rsidR="009021A3">
        <w:t>two</w:t>
      </w:r>
      <w:r w:rsidRPr="006A2DB8">
        <w:t xml:space="preserve"> key indicators that can be tabulated from the set of proposed questions listed in Section III.</w:t>
      </w:r>
      <w:r w:rsidR="000C010E">
        <w:t xml:space="preserve"> Please refer to Section IV for details on how each indicator would be calculated.</w:t>
      </w:r>
    </w:p>
    <w:p w14:paraId="7708F75A" w14:textId="40960B25" w:rsidR="00487D97" w:rsidRPr="00487D97" w:rsidRDefault="009021A3" w:rsidP="00B55EF7">
      <w:pPr>
        <w:pStyle w:val="ListParagraph"/>
        <w:numPr>
          <w:ilvl w:val="0"/>
          <w:numId w:val="47"/>
        </w:numPr>
        <w:jc w:val="both"/>
      </w:pPr>
      <w:r w:rsidRPr="00B55EF7">
        <w:rPr>
          <w:b/>
        </w:rPr>
        <w:lastRenderedPageBreak/>
        <w:t>Mothers with children 6-2</w:t>
      </w:r>
      <w:r w:rsidR="003B42BF" w:rsidRPr="00B55EF7">
        <w:rPr>
          <w:b/>
        </w:rPr>
        <w:t>3</w:t>
      </w:r>
      <w:r w:rsidRPr="00B55EF7">
        <w:rPr>
          <w:b/>
        </w:rPr>
        <w:t xml:space="preserve"> months who received </w:t>
      </w:r>
      <w:r w:rsidR="003B42BF" w:rsidRPr="00B55EF7">
        <w:rPr>
          <w:b/>
        </w:rPr>
        <w:t xml:space="preserve">any </w:t>
      </w:r>
      <w:r w:rsidR="002C1AE6" w:rsidRPr="00B55EF7">
        <w:rPr>
          <w:b/>
        </w:rPr>
        <w:t>Infant and Young Child Feeding (</w:t>
      </w:r>
      <w:r w:rsidRPr="00B55EF7">
        <w:rPr>
          <w:b/>
        </w:rPr>
        <w:t>IYCF</w:t>
      </w:r>
      <w:r w:rsidR="002C1AE6" w:rsidRPr="00B55EF7">
        <w:rPr>
          <w:b/>
        </w:rPr>
        <w:t>)</w:t>
      </w:r>
      <w:r w:rsidRPr="00B55EF7">
        <w:rPr>
          <w:b/>
        </w:rPr>
        <w:t xml:space="preserve"> counseling</w:t>
      </w:r>
      <w:r w:rsidR="006C2A13" w:rsidRPr="00B55EF7">
        <w:rPr>
          <w:b/>
        </w:rPr>
        <w:t xml:space="preserve"> in the last 6 months</w:t>
      </w:r>
    </w:p>
    <w:p w14:paraId="4A648EBF" w14:textId="276CC0B2" w:rsidR="00986A1E" w:rsidRDefault="00986A1E" w:rsidP="00827ABA">
      <w:pPr>
        <w:jc w:val="both"/>
      </w:pPr>
      <w:r w:rsidRPr="00487D97">
        <w:rPr>
          <w:u w:val="single"/>
        </w:rPr>
        <w:t>Definition</w:t>
      </w:r>
      <w:r>
        <w:t>:</w:t>
      </w:r>
      <w:r w:rsidRPr="00986A1E">
        <w:t xml:space="preserve"> </w:t>
      </w:r>
      <w:r w:rsidR="00487D97">
        <w:t>Proportion of m</w:t>
      </w:r>
      <w:r w:rsidR="00487D97" w:rsidRPr="00487D97">
        <w:t>others with children 6-2</w:t>
      </w:r>
      <w:r w:rsidR="003B42BF">
        <w:t>3</w:t>
      </w:r>
      <w:r w:rsidR="00487D97" w:rsidRPr="00487D97">
        <w:t xml:space="preserve"> months who received</w:t>
      </w:r>
      <w:r w:rsidR="003B42BF">
        <w:t xml:space="preserve"> any</w:t>
      </w:r>
      <w:r w:rsidR="00487D97" w:rsidRPr="00487D97">
        <w:t xml:space="preserve"> IYCF counseling in the last 6 months</w:t>
      </w:r>
    </w:p>
    <w:p w14:paraId="23270629" w14:textId="37BBCC13" w:rsidR="006C2A13" w:rsidRPr="006C2A13" w:rsidRDefault="00487D97" w:rsidP="00B55EF7">
      <w:pPr>
        <w:pStyle w:val="ListParagraph"/>
        <w:numPr>
          <w:ilvl w:val="0"/>
          <w:numId w:val="47"/>
        </w:numPr>
        <w:jc w:val="both"/>
      </w:pPr>
      <w:r w:rsidRPr="00B55EF7">
        <w:rPr>
          <w:b/>
        </w:rPr>
        <w:t>Mothers with children 6-2</w:t>
      </w:r>
      <w:r w:rsidR="003B42BF" w:rsidRPr="00B55EF7">
        <w:rPr>
          <w:b/>
        </w:rPr>
        <w:t>3</w:t>
      </w:r>
      <w:r w:rsidRPr="00B55EF7">
        <w:rPr>
          <w:b/>
        </w:rPr>
        <w:t xml:space="preserve"> months who received </w:t>
      </w:r>
      <w:r w:rsidRPr="00B55EF7">
        <w:rPr>
          <w:b/>
          <w:i/>
        </w:rPr>
        <w:t>age-appropriate</w:t>
      </w:r>
      <w:r w:rsidRPr="00B55EF7">
        <w:rPr>
          <w:b/>
        </w:rPr>
        <w:t xml:space="preserve"> IYCF counseling</w:t>
      </w:r>
      <w:r w:rsidR="006C2A13" w:rsidRPr="00B55EF7">
        <w:rPr>
          <w:b/>
        </w:rPr>
        <w:t xml:space="preserve"> in the last 6 months</w:t>
      </w:r>
    </w:p>
    <w:p w14:paraId="549178D0" w14:textId="05F1B7F8" w:rsidR="00986A1E" w:rsidRPr="00986A1E" w:rsidRDefault="00986A1E" w:rsidP="00827ABA">
      <w:pPr>
        <w:jc w:val="both"/>
      </w:pPr>
      <w:r w:rsidRPr="00A73044">
        <w:rPr>
          <w:u w:val="single"/>
        </w:rPr>
        <w:t>Definition</w:t>
      </w:r>
      <w:r>
        <w:t>:</w:t>
      </w:r>
      <w:r w:rsidR="00487D97">
        <w:t xml:space="preserve"> Proportion of m</w:t>
      </w:r>
      <w:r w:rsidR="00487D97" w:rsidRPr="00487D97">
        <w:t>others with children 6-2</w:t>
      </w:r>
      <w:r w:rsidR="003B42BF">
        <w:t>3</w:t>
      </w:r>
      <w:r w:rsidR="00487D97" w:rsidRPr="00487D97">
        <w:t xml:space="preserve"> months who received </w:t>
      </w:r>
      <w:r w:rsidR="00487D97" w:rsidRPr="00445A00">
        <w:rPr>
          <w:i/>
        </w:rPr>
        <w:t xml:space="preserve">age-appropriate </w:t>
      </w:r>
      <w:r w:rsidR="00487D97" w:rsidRPr="00487D97">
        <w:t>IYCF counseling in the last 6 months</w:t>
      </w:r>
    </w:p>
    <w:p w14:paraId="28767A61" w14:textId="66BD50B2" w:rsid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827ABA">
        <w:rPr>
          <w:b/>
        </w:rPr>
        <w:t xml:space="preserve">What is the rationale for measuring </w:t>
      </w:r>
      <w:r w:rsidR="00FA4713" w:rsidRPr="00827ABA">
        <w:rPr>
          <w:b/>
        </w:rPr>
        <w:t>this</w:t>
      </w:r>
      <w:r w:rsidR="00E42624" w:rsidRPr="00827ABA">
        <w:rPr>
          <w:b/>
        </w:rPr>
        <w:t xml:space="preserve"> indicator</w:t>
      </w:r>
      <w:r w:rsidR="00FA4713" w:rsidRPr="00827ABA">
        <w:rPr>
          <w:b/>
        </w:rPr>
        <w:t xml:space="preserve"> (each of these indicators)</w:t>
      </w:r>
      <w:r w:rsidR="00E42624" w:rsidRPr="00827ABA">
        <w:rPr>
          <w:b/>
        </w:rPr>
        <w:t xml:space="preserve"> in DHS surveys?</w:t>
      </w:r>
      <w:r w:rsidR="0079250A" w:rsidRPr="00827ABA">
        <w:rPr>
          <w:b/>
        </w:rPr>
        <w:t xml:space="preserve"> (Response required)</w:t>
      </w:r>
    </w:p>
    <w:p w14:paraId="3B2D4F75" w14:textId="203ECF03" w:rsidR="002C1AE6" w:rsidRPr="005574F9" w:rsidRDefault="004832F6" w:rsidP="00B55EF7">
      <w:pPr>
        <w:pStyle w:val="ListParagraph"/>
        <w:numPr>
          <w:ilvl w:val="0"/>
          <w:numId w:val="48"/>
        </w:numPr>
      </w:pPr>
      <w:r w:rsidRPr="00B55EF7">
        <w:rPr>
          <w:b/>
        </w:rPr>
        <w:t>Mothers with children 6-23 months who received any IYCF counseling</w:t>
      </w:r>
      <w:r w:rsidR="006C2A13" w:rsidRPr="00B55EF7">
        <w:rPr>
          <w:b/>
        </w:rPr>
        <w:t xml:space="preserve"> in the last 6 months</w:t>
      </w:r>
    </w:p>
    <w:p w14:paraId="251A9888" w14:textId="4DFF47FB" w:rsidR="00542FB5" w:rsidRPr="00104EA8" w:rsidRDefault="007F139B" w:rsidP="00827ABA">
      <w:pPr>
        <w:jc w:val="both"/>
      </w:pPr>
      <w:r>
        <w:t>Infant and young child feeding (</w:t>
      </w:r>
      <w:r w:rsidR="00542FB5" w:rsidRPr="00104EA8">
        <w:t>IYCF</w:t>
      </w:r>
      <w:r>
        <w:t>)</w:t>
      </w:r>
      <w:r w:rsidR="00542FB5" w:rsidRPr="00104EA8">
        <w:t xml:space="preserve"> refers</w:t>
      </w:r>
      <w:r w:rsidR="002C1AE6" w:rsidRPr="00104EA8">
        <w:t xml:space="preserve"> to</w:t>
      </w:r>
      <w:r w:rsidR="00542FB5" w:rsidRPr="00104EA8">
        <w:t xml:space="preserve"> feeding practices targeting children 0-23 months of age. </w:t>
      </w:r>
      <w:r w:rsidR="00542FB5">
        <w:t xml:space="preserve">The WHO Global </w:t>
      </w:r>
      <w:r>
        <w:t>S</w:t>
      </w:r>
      <w:r w:rsidR="00542FB5">
        <w:t xml:space="preserve">trategy on IYCF recommends exclusive breastfeeding (EBF) for the first 6 months (unless advised otherwise for medical reasons) and continued breastfeeding for two years or beyond </w:t>
      </w:r>
      <w:r w:rsidR="00ED3BDC">
        <w:t>with</w:t>
      </w:r>
      <w:r w:rsidR="00542FB5">
        <w:t xml:space="preserve"> timely introduction of </w:t>
      </w:r>
      <w:r w:rsidR="00ED3BDC">
        <w:t xml:space="preserve">diverse </w:t>
      </w:r>
      <w:r w:rsidR="00542FB5">
        <w:t xml:space="preserve">nutrient-dense complementary </w:t>
      </w:r>
      <w:r w:rsidR="00ED3BDC">
        <w:t>foods</w:t>
      </w:r>
      <w:r w:rsidR="00542FB5">
        <w:t>.</w:t>
      </w:r>
      <w:r w:rsidR="00542FB5">
        <w:rPr>
          <w:rStyle w:val="FootnoteReference"/>
        </w:rPr>
        <w:footnoteReference w:id="1"/>
      </w:r>
      <w:r w:rsidR="00542FB5">
        <w:t xml:space="preserve"> </w:t>
      </w:r>
    </w:p>
    <w:p w14:paraId="34651751" w14:textId="76687DED" w:rsidR="003C7AB8" w:rsidRDefault="00953FC8" w:rsidP="00827ABA">
      <w:pPr>
        <w:jc w:val="both"/>
      </w:pPr>
      <w:r w:rsidRPr="00953FC8">
        <w:t>Nearly 15 years ago, the WHO provided guidelines for complementary feeding of children aged 6-</w:t>
      </w:r>
      <w:r w:rsidR="002C1AE6" w:rsidRPr="00953FC8">
        <w:t>2</w:t>
      </w:r>
      <w:r w:rsidR="002C1AE6">
        <w:t>3</w:t>
      </w:r>
      <w:r w:rsidR="002C1AE6" w:rsidRPr="00953FC8">
        <w:t xml:space="preserve"> </w:t>
      </w:r>
      <w:r w:rsidRPr="00953FC8">
        <w:t>months</w:t>
      </w:r>
      <w:r w:rsidR="002C1AE6">
        <w:t xml:space="preserve"> which include messages about continued breastfeeding and </w:t>
      </w:r>
      <w:r w:rsidR="00ED3BDC">
        <w:t>the recommended diversity and frequency of foods</w:t>
      </w:r>
      <w:r w:rsidRPr="00953FC8">
        <w:t>.</w:t>
      </w:r>
      <w:r>
        <w:rPr>
          <w:rStyle w:val="FootnoteReference"/>
        </w:rPr>
        <w:footnoteReference w:id="2"/>
      </w:r>
      <w:r>
        <w:rPr>
          <w:vertAlign w:val="superscript"/>
        </w:rPr>
        <w:t>,</w:t>
      </w:r>
      <w:r>
        <w:rPr>
          <w:rStyle w:val="FootnoteReference"/>
        </w:rPr>
        <w:footnoteReference w:id="3"/>
      </w:r>
      <w:r w:rsidRPr="00953FC8">
        <w:t xml:space="preserve"> </w:t>
      </w:r>
      <w:r w:rsidR="00E81513">
        <w:t xml:space="preserve">In February 2019, the WHO released “Guideline: Counselling of Women to Improve Breastfeeding Practices,” which recommends </w:t>
      </w:r>
      <w:r w:rsidR="00E81513" w:rsidRPr="00953FC8">
        <w:t>all pregnant women and mother</w:t>
      </w:r>
      <w:r w:rsidR="00E81513">
        <w:t>s</w:t>
      </w:r>
      <w:r w:rsidR="00E81513" w:rsidRPr="00953FC8">
        <w:t xml:space="preserve"> be provided with breastfeeding counseling </w:t>
      </w:r>
      <w:r w:rsidR="005A41D9">
        <w:t>up to 24 months or longer</w:t>
      </w:r>
      <w:r w:rsidR="00E81513">
        <w:t>.</w:t>
      </w:r>
      <w:r w:rsidR="00E81513">
        <w:rPr>
          <w:rStyle w:val="FootnoteReference"/>
        </w:rPr>
        <w:footnoteReference w:id="4"/>
      </w:r>
      <w:r w:rsidR="00E81513">
        <w:t xml:space="preserve"> </w:t>
      </w:r>
      <w:r w:rsidR="00E83F51">
        <w:t xml:space="preserve">Although, </w:t>
      </w:r>
      <w:r w:rsidR="003C7AB8" w:rsidRPr="00953FC8">
        <w:t>most countries include counseling for breastfeeding and complementary feeding in their nutrition programming efforts</w:t>
      </w:r>
      <w:r w:rsidR="003C7AB8">
        <w:t xml:space="preserve">, </w:t>
      </w:r>
      <w:r w:rsidR="0012717B">
        <w:t>few</w:t>
      </w:r>
      <w:r w:rsidR="0012717B" w:rsidRPr="00953FC8">
        <w:t xml:space="preserve"> </w:t>
      </w:r>
      <w:r w:rsidR="003C7AB8" w:rsidRPr="00953FC8">
        <w:t xml:space="preserve">data </w:t>
      </w:r>
      <w:r w:rsidR="0012717B">
        <w:t>are</w:t>
      </w:r>
      <w:r w:rsidR="0012717B" w:rsidRPr="00953FC8">
        <w:t xml:space="preserve"> </w:t>
      </w:r>
      <w:r w:rsidR="003C7AB8" w:rsidRPr="00953FC8">
        <w:t>available to monitor population-based coverage of counseling f</w:t>
      </w:r>
      <w:r w:rsidR="003C7AB8">
        <w:t>or IYCF.</w:t>
      </w:r>
      <w:r w:rsidR="003C7AB8">
        <w:rPr>
          <w:rStyle w:val="FootnoteReference"/>
        </w:rPr>
        <w:footnoteReference w:id="5"/>
      </w:r>
    </w:p>
    <w:p w14:paraId="08CE6267" w14:textId="19F6F11C" w:rsidR="007F139B" w:rsidRDefault="00953FC8" w:rsidP="00827ABA">
      <w:pPr>
        <w:jc w:val="both"/>
      </w:pPr>
      <w:r w:rsidRPr="00953FC8">
        <w:t xml:space="preserve">The DHS </w:t>
      </w:r>
      <w:r w:rsidR="00E83F51">
        <w:t>primarily</w:t>
      </w:r>
      <w:r w:rsidRPr="00953FC8">
        <w:t xml:space="preserve"> collects data on indicators </w:t>
      </w:r>
      <w:r>
        <w:t xml:space="preserve">of breastfeeding </w:t>
      </w:r>
      <w:r w:rsidR="002C1AE6">
        <w:t xml:space="preserve">and complementary feeding </w:t>
      </w:r>
      <w:r>
        <w:t>practices</w:t>
      </w:r>
      <w:r w:rsidR="00ED3BDC">
        <w:t xml:space="preserve"> among children 0-23 months</w:t>
      </w:r>
      <w:r w:rsidR="007F139B">
        <w:t>—</w:t>
      </w:r>
      <w:r w:rsidR="00ED3BDC">
        <w:t>with data disaggregated into 0-5, 6-11 and 12-23 month age groups</w:t>
      </w:r>
      <w:r>
        <w:t>.</w:t>
      </w:r>
      <w:r w:rsidR="004832F6">
        <w:rPr>
          <w:rStyle w:val="FootnoteReference"/>
        </w:rPr>
        <w:footnoteReference w:id="6"/>
      </w:r>
      <w:r w:rsidR="004832F6">
        <w:rPr>
          <w:vertAlign w:val="superscript"/>
        </w:rPr>
        <w:t>,</w:t>
      </w:r>
      <w:r w:rsidR="004832F6">
        <w:rPr>
          <w:rStyle w:val="FootnoteReference"/>
        </w:rPr>
        <w:footnoteReference w:id="7"/>
      </w:r>
      <w:r>
        <w:t xml:space="preserve"> </w:t>
      </w:r>
      <w:r w:rsidR="004832F6">
        <w:t xml:space="preserve">The DHS-7 questionnaire introduced a new </w:t>
      </w:r>
      <w:r w:rsidR="00ED3BDC">
        <w:t xml:space="preserve">set of questions on postnatal care in the first two days of life which </w:t>
      </w:r>
      <w:r w:rsidR="00ED3BDC">
        <w:lastRenderedPageBreak/>
        <w:t>includes</w:t>
      </w:r>
      <w:r w:rsidR="003C7AB8">
        <w:t xml:space="preserve"> “counseling on breastfeeding” as one of six postnatal functions.</w:t>
      </w:r>
      <w:r w:rsidR="003C7AB8">
        <w:rPr>
          <w:rStyle w:val="FootnoteReference"/>
        </w:rPr>
        <w:footnoteReference w:id="8"/>
      </w:r>
      <w:bookmarkStart w:id="3" w:name="_Hlk536629445"/>
      <w:r w:rsidR="002F57C9">
        <w:rPr>
          <w:vertAlign w:val="superscript"/>
        </w:rPr>
        <w:t>,</w:t>
      </w:r>
      <w:r w:rsidR="007478BD">
        <w:rPr>
          <w:rStyle w:val="FootnoteReference"/>
        </w:rPr>
        <w:footnoteReference w:id="9"/>
      </w:r>
      <w:r w:rsidR="007478BD">
        <w:t xml:space="preserve"> </w:t>
      </w:r>
      <w:bookmarkEnd w:id="3"/>
      <w:r w:rsidR="005574F9">
        <w:t>However</w:t>
      </w:r>
      <w:r w:rsidR="007F139B">
        <w:t>,</w:t>
      </w:r>
      <w:r w:rsidR="00ED3BDC">
        <w:t xml:space="preserve"> there are no questions related to comprehensive</w:t>
      </w:r>
      <w:r w:rsidR="00FF1FEB">
        <w:t xml:space="preserve"> </w:t>
      </w:r>
      <w:r w:rsidR="005574F9">
        <w:t xml:space="preserve">IYCF counseling for </w:t>
      </w:r>
      <w:r w:rsidR="006C2A13">
        <w:t xml:space="preserve">all </w:t>
      </w:r>
      <w:r w:rsidR="005574F9">
        <w:t>children</w:t>
      </w:r>
      <w:r w:rsidR="00ED3BDC">
        <w:t xml:space="preserve"> 0</w:t>
      </w:r>
      <w:r w:rsidR="005574F9">
        <w:t>-23 months. T</w:t>
      </w:r>
      <w:r w:rsidRPr="00953FC8">
        <w:t>he proposed indicators on IYCF counseling will</w:t>
      </w:r>
      <w:r w:rsidR="00FF1FEB">
        <w:t>, therefore,</w:t>
      </w:r>
      <w:r w:rsidRPr="00953FC8">
        <w:t xml:space="preserve"> complement </w:t>
      </w:r>
      <w:r w:rsidR="00ED3BDC">
        <w:t xml:space="preserve">the existing question and </w:t>
      </w:r>
      <w:r w:rsidRPr="00953FC8">
        <w:t>provide countries with data to track coverage of IYCF counseling</w:t>
      </w:r>
      <w:r w:rsidR="007F139B">
        <w:t>—</w:t>
      </w:r>
      <w:r w:rsidR="006C2A13">
        <w:t xml:space="preserve">promoting both </w:t>
      </w:r>
      <w:r w:rsidR="00FF1FEB">
        <w:t>breastfeeding and complementary feeding</w:t>
      </w:r>
      <w:r w:rsidR="007F139B">
        <w:t>—</w:t>
      </w:r>
      <w:r w:rsidR="00FF1FEB">
        <w:t xml:space="preserve"> </w:t>
      </w:r>
      <w:r w:rsidRPr="00953FC8">
        <w:t>through the first two years of life.</w:t>
      </w:r>
      <w:r w:rsidR="00ED3BDC">
        <w:t xml:space="preserve"> </w:t>
      </w:r>
    </w:p>
    <w:p w14:paraId="358F938E" w14:textId="481DB090" w:rsidR="002C1AE6" w:rsidRDefault="007F139B" w:rsidP="00827ABA">
      <w:pPr>
        <w:jc w:val="both"/>
      </w:pPr>
      <w:r w:rsidRPr="00205E95">
        <w:rPr>
          <w:i/>
        </w:rPr>
        <w:t>NOTE</w:t>
      </w:r>
      <w:r w:rsidR="00ED3BDC" w:rsidRPr="00205E95">
        <w:rPr>
          <w:i/>
        </w:rPr>
        <w:t xml:space="preserve">: </w:t>
      </w:r>
      <w:r w:rsidRPr="00205E95">
        <w:rPr>
          <w:i/>
        </w:rPr>
        <w:t>A</w:t>
      </w:r>
      <w:r w:rsidR="00ED3BDC" w:rsidRPr="00205E95">
        <w:rPr>
          <w:i/>
        </w:rPr>
        <w:t xml:space="preserve"> separate recommendation has been posted about indicators of </w:t>
      </w:r>
      <w:r w:rsidR="00116C40" w:rsidRPr="00205E95">
        <w:rPr>
          <w:i/>
        </w:rPr>
        <w:t xml:space="preserve">early </w:t>
      </w:r>
      <w:r w:rsidR="00ED3BDC" w:rsidRPr="00205E95">
        <w:rPr>
          <w:i/>
        </w:rPr>
        <w:t>breastfeeding counseling coverage</w:t>
      </w:r>
      <w:r w:rsidRPr="00205E95">
        <w:rPr>
          <w:i/>
        </w:rPr>
        <w:t>—</w:t>
      </w:r>
      <w:r w:rsidR="00116C40" w:rsidRPr="00205E95">
        <w:rPr>
          <w:i/>
        </w:rPr>
        <w:t>from pregnancy through age 1 month</w:t>
      </w:r>
    </w:p>
    <w:p w14:paraId="0E65767D" w14:textId="667FD925" w:rsidR="002C1AE6" w:rsidRDefault="002C1AE6" w:rsidP="00B55EF7">
      <w:pPr>
        <w:pStyle w:val="ListParagraph"/>
        <w:numPr>
          <w:ilvl w:val="0"/>
          <w:numId w:val="48"/>
        </w:numPr>
        <w:jc w:val="both"/>
      </w:pPr>
      <w:r w:rsidRPr="00B55EF7">
        <w:rPr>
          <w:b/>
        </w:rPr>
        <w:t xml:space="preserve">Mothers with children 6-23 months who received </w:t>
      </w:r>
      <w:r w:rsidRPr="00B55EF7">
        <w:rPr>
          <w:b/>
          <w:i/>
        </w:rPr>
        <w:t>age-appropriate</w:t>
      </w:r>
      <w:r w:rsidRPr="00B55EF7">
        <w:rPr>
          <w:b/>
        </w:rPr>
        <w:t xml:space="preserve"> IYCF counseling</w:t>
      </w:r>
    </w:p>
    <w:p w14:paraId="06FBD066" w14:textId="3EFDBEAB" w:rsidR="002B7360" w:rsidRDefault="002B7360" w:rsidP="00827ABA">
      <w:pPr>
        <w:jc w:val="both"/>
      </w:pPr>
      <w:r>
        <w:t xml:space="preserve">Regarding the second indicator proposed, </w:t>
      </w:r>
      <w:r w:rsidR="00FF1FEB">
        <w:t>given tha</w:t>
      </w:r>
      <w:r w:rsidR="006C2A13">
        <w:t>t 1) complementary feeding includes breastfeeding and food-related practices</w:t>
      </w:r>
      <w:r w:rsidR="007F139B">
        <w:t>,</w:t>
      </w:r>
      <w:r w:rsidR="006C2A13">
        <w:t xml:space="preserve"> </w:t>
      </w:r>
      <w:r w:rsidR="00116C40">
        <w:t>2) content of counseling should vary by child age/developmental stage</w:t>
      </w:r>
      <w:r w:rsidR="007F139B">
        <w:t>,</w:t>
      </w:r>
      <w:r w:rsidR="00116C40">
        <w:t xml:space="preserve"> </w:t>
      </w:r>
      <w:r w:rsidR="006C2A13">
        <w:t xml:space="preserve">and </w:t>
      </w:r>
      <w:r w:rsidR="00116C40">
        <w:t>3</w:t>
      </w:r>
      <w:r w:rsidR="006C2A13">
        <w:t>) mothers</w:t>
      </w:r>
      <w:r w:rsidR="00FF1FEB">
        <w:t xml:space="preserve"> may receive conflicting or incorrect </w:t>
      </w:r>
      <w:r w:rsidR="00116C40">
        <w:t>messages</w:t>
      </w:r>
      <w:r w:rsidR="00FF1FEB">
        <w:t xml:space="preserve">, thus leading to poor practices, we have determined that </w:t>
      </w:r>
      <w:r>
        <w:t xml:space="preserve">it is </w:t>
      </w:r>
      <w:r w:rsidR="00FF1FEB">
        <w:t xml:space="preserve">essential </w:t>
      </w:r>
      <w:r>
        <w:t xml:space="preserve">to </w:t>
      </w:r>
      <w:r w:rsidR="00FF1FEB">
        <w:t xml:space="preserve">know </w:t>
      </w:r>
      <w:r>
        <w:t xml:space="preserve">not only if mothers are receiving </w:t>
      </w:r>
      <w:r w:rsidR="00FF1FEB">
        <w:t xml:space="preserve">any </w:t>
      </w:r>
      <w:r>
        <w:t xml:space="preserve">IYCF counseling, but whether they are receiving </w:t>
      </w:r>
      <w:r w:rsidR="00FF1FEB">
        <w:t xml:space="preserve">appropriate </w:t>
      </w:r>
      <w:r w:rsidR="006C2A13">
        <w:t>i</w:t>
      </w:r>
      <w:r w:rsidR="00FF1FEB">
        <w:t xml:space="preserve">nformation </w:t>
      </w:r>
      <w:r>
        <w:t>based on the age of their child.</w:t>
      </w:r>
      <w:r w:rsidR="006C2A13">
        <w:t xml:space="preserve"> </w:t>
      </w:r>
      <w:r w:rsidR="00116C40">
        <w:t>The question</w:t>
      </w:r>
      <w:r w:rsidR="006C2A13">
        <w:t xml:space="preserve"> is being posed to mothers of children 6-23 months with a 6-month recall period</w:t>
      </w:r>
      <w:r w:rsidR="007F139B">
        <w:t>—</w:t>
      </w:r>
      <w:r w:rsidR="006C2A13">
        <w:t xml:space="preserve">so </w:t>
      </w:r>
      <w:r w:rsidR="00116C40">
        <w:t xml:space="preserve">for children who </w:t>
      </w:r>
      <w:proofErr w:type="gramStart"/>
      <w:r w:rsidR="00116C40">
        <w:t>are 6-11 months</w:t>
      </w:r>
      <w:proofErr w:type="gramEnd"/>
      <w:r w:rsidR="00116C40">
        <w:t xml:space="preserve"> old on the day of the survey, the recall includes any </w:t>
      </w:r>
      <w:r w:rsidR="006C2A13">
        <w:t>messages received when the child was</w:t>
      </w:r>
      <w:r w:rsidR="00116C40">
        <w:t xml:space="preserve"> less than 6 months of age</w:t>
      </w:r>
      <w:r w:rsidR="006C2A13">
        <w:t>.</w:t>
      </w:r>
    </w:p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Pr="00C84B88" w:rsidRDefault="00C420DE" w:rsidP="001C34C8">
      <w:pPr>
        <w:tabs>
          <w:tab w:val="left" w:pos="360"/>
        </w:tabs>
        <w:spacing w:after="0"/>
        <w:ind w:left="360" w:hanging="360"/>
        <w:rPr>
          <w:b/>
        </w:rPr>
      </w:pPr>
      <w:r w:rsidRPr="00C84B88">
        <w:rPr>
          <w:b/>
        </w:rPr>
        <w:t>4.</w:t>
      </w:r>
      <w:r w:rsidRPr="00C84B88">
        <w:rPr>
          <w:b/>
        </w:rPr>
        <w:tab/>
      </w:r>
      <w:r w:rsidR="00736F09" w:rsidRPr="00C84B88">
        <w:rPr>
          <w:b/>
        </w:rPr>
        <w:t>Please d</w:t>
      </w:r>
      <w:r w:rsidRPr="00C84B88">
        <w:rPr>
          <w:b/>
        </w:rPr>
        <w:t>escri</w:t>
      </w:r>
      <w:r w:rsidR="00736F09" w:rsidRPr="00C84B88">
        <w:rPr>
          <w:b/>
        </w:rPr>
        <w:t>be</w:t>
      </w:r>
      <w:r w:rsidRPr="00C84B88">
        <w:rPr>
          <w:b/>
        </w:rPr>
        <w:t xml:space="preserve"> </w:t>
      </w:r>
      <w:r w:rsidR="00736F09" w:rsidRPr="00C84B88">
        <w:rPr>
          <w:b/>
        </w:rPr>
        <w:t xml:space="preserve">the requested addition or revision. </w:t>
      </w:r>
    </w:p>
    <w:p w14:paraId="7CB2C974" w14:textId="01E14BFD" w:rsidR="00736F09" w:rsidRPr="00C84B88" w:rsidRDefault="00736F09" w:rsidP="00736F09">
      <w:pPr>
        <w:tabs>
          <w:tab w:val="left" w:pos="360"/>
        </w:tabs>
        <w:ind w:left="360"/>
        <w:rPr>
          <w:b/>
          <w:i/>
        </w:rPr>
      </w:pPr>
      <w:r w:rsidRPr="00C84B88">
        <w:rPr>
          <w:b/>
          <w:i/>
        </w:rPr>
        <w:t xml:space="preserve">If the requested change is </w:t>
      </w:r>
      <w:r w:rsidR="00911C8F" w:rsidRPr="00C84B88">
        <w:rPr>
          <w:b/>
          <w:i/>
        </w:rPr>
        <w:t>the</w:t>
      </w:r>
      <w:r w:rsidRPr="00C84B88">
        <w:rPr>
          <w:b/>
          <w:i/>
        </w:rPr>
        <w:t xml:space="preserve"> addition </w:t>
      </w:r>
      <w:r w:rsidR="00911C8F" w:rsidRPr="00C84B88">
        <w:rPr>
          <w:b/>
          <w:i/>
        </w:rPr>
        <w:t xml:space="preserve">of new questions </w:t>
      </w:r>
      <w:r w:rsidRPr="00C84B88">
        <w:rPr>
          <w:b/>
          <w:i/>
        </w:rPr>
        <w:t>to the DHS questionnaire</w:t>
      </w:r>
      <w:r w:rsidR="00911C8F" w:rsidRPr="00C84B88">
        <w:rPr>
          <w:b/>
          <w:i/>
        </w:rPr>
        <w:t>s or modules</w:t>
      </w:r>
      <w:r w:rsidR="001C34C8" w:rsidRPr="00C84B88">
        <w:rPr>
          <w:b/>
          <w:i/>
        </w:rPr>
        <w:t>, complete questions 4.1 and 4.1.1. If the requested change is a revision to existing que</w:t>
      </w:r>
      <w:r w:rsidR="00B71A43" w:rsidRPr="00C84B88">
        <w:rPr>
          <w:b/>
          <w:i/>
        </w:rPr>
        <w:t>stions, complete question 4.2. I</w:t>
      </w:r>
      <w:r w:rsidR="001C34C8" w:rsidRPr="00C84B88">
        <w:rPr>
          <w:b/>
          <w:i/>
        </w:rPr>
        <w:t>f the change relates to a</w:t>
      </w:r>
      <w:r w:rsidR="00DA1513" w:rsidRPr="00C84B88">
        <w:rPr>
          <w:b/>
          <w:i/>
        </w:rPr>
        <w:t>nthropometry or a</w:t>
      </w:r>
      <w:r w:rsidR="001C34C8" w:rsidRPr="00C84B88">
        <w:rPr>
          <w:b/>
          <w:i/>
        </w:rPr>
        <w:t xml:space="preserve"> biomarker, please complete question 4.3.</w:t>
      </w:r>
    </w:p>
    <w:p w14:paraId="2DB90F2C" w14:textId="4BDED5EE" w:rsidR="00264A83" w:rsidRPr="00C84B88" w:rsidRDefault="00E42624" w:rsidP="00ED307C">
      <w:pPr>
        <w:tabs>
          <w:tab w:val="left" w:pos="810"/>
        </w:tabs>
        <w:ind w:left="810" w:hanging="450"/>
        <w:rPr>
          <w:b/>
        </w:rPr>
      </w:pPr>
      <w:r w:rsidRPr="00C84B88">
        <w:rPr>
          <w:b/>
        </w:rPr>
        <w:t>4</w:t>
      </w:r>
      <w:r w:rsidR="00264A83" w:rsidRPr="00C84B88">
        <w:rPr>
          <w:b/>
        </w:rPr>
        <w:t>.1</w:t>
      </w:r>
      <w:r w:rsidR="00D00F57" w:rsidRPr="00C84B88">
        <w:rPr>
          <w:b/>
        </w:rPr>
        <w:t xml:space="preserve">. </w:t>
      </w:r>
      <w:r w:rsidR="00ED307C" w:rsidRPr="00C84B88">
        <w:rPr>
          <w:b/>
        </w:rPr>
        <w:tab/>
      </w:r>
      <w:r w:rsidR="00D00F57" w:rsidRPr="006C2A13">
        <w:rPr>
          <w:b/>
        </w:rPr>
        <w:t>For additions</w:t>
      </w:r>
      <w:r w:rsidR="00D00F57" w:rsidRPr="00C84B88">
        <w:rPr>
          <w:b/>
        </w:rPr>
        <w:t>: If</w:t>
      </w:r>
      <w:r w:rsidR="003D45B0" w:rsidRPr="00C84B88">
        <w:rPr>
          <w:b/>
        </w:rPr>
        <w:t xml:space="preserve"> you have developed</w:t>
      </w:r>
      <w:r w:rsidR="00D00F57" w:rsidRPr="00C84B88">
        <w:rPr>
          <w:b/>
        </w:rPr>
        <w:t xml:space="preserve"> a </w:t>
      </w:r>
      <w:r w:rsidR="003D45B0" w:rsidRPr="00C84B88">
        <w:rPr>
          <w:b/>
        </w:rPr>
        <w:t xml:space="preserve">question or </w:t>
      </w:r>
      <w:r w:rsidR="00D00F57" w:rsidRPr="00C84B88">
        <w:rPr>
          <w:b/>
        </w:rPr>
        <w:t xml:space="preserve">set of questions to measure the indicator(s), </w:t>
      </w:r>
      <w:r w:rsidR="00CB1C12" w:rsidRPr="00C84B88">
        <w:rPr>
          <w:b/>
        </w:rPr>
        <w:t xml:space="preserve">please </w:t>
      </w:r>
      <w:r w:rsidR="00D00F57" w:rsidRPr="00C84B88">
        <w:rPr>
          <w:b/>
        </w:rPr>
        <w:t>provide them in the space below</w:t>
      </w:r>
      <w:r w:rsidR="008A5148" w:rsidRPr="00C84B88">
        <w:rPr>
          <w:b/>
        </w:rPr>
        <w:t xml:space="preserve"> or in a separate file attached </w:t>
      </w:r>
      <w:r w:rsidR="00911C8F" w:rsidRPr="00C84B88">
        <w:rPr>
          <w:b/>
        </w:rPr>
        <w:t>with</w:t>
      </w:r>
      <w:r w:rsidR="008A5148" w:rsidRPr="00C84B88">
        <w:rPr>
          <w:b/>
        </w:rPr>
        <w:t xml:space="preserve"> your submission</w:t>
      </w:r>
      <w:r w:rsidR="00ED307C" w:rsidRPr="00C84B88">
        <w:rPr>
          <w:b/>
        </w:rPr>
        <w:t xml:space="preserve">.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4140"/>
        <w:gridCol w:w="2325"/>
      </w:tblGrid>
      <w:tr w:rsidR="005574F9" w:rsidRPr="006C1D49" w14:paraId="04E16348" w14:textId="77777777" w:rsidTr="001C5A51">
        <w:trPr>
          <w:jc w:val="center"/>
        </w:trPr>
        <w:tc>
          <w:tcPr>
            <w:tcW w:w="3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FEEACF" w14:textId="77777777" w:rsidR="005574F9" w:rsidRPr="006C1D49" w:rsidRDefault="005574F9" w:rsidP="001C5A51">
            <w:pPr>
              <w:spacing w:line="276" w:lineRule="auto"/>
              <w:ind w:left="360" w:hanging="360"/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2CE28" w14:textId="77777777" w:rsidR="005574F9" w:rsidRPr="006C1D49" w:rsidRDefault="005574F9" w:rsidP="001C5A51">
            <w:pPr>
              <w:tabs>
                <w:tab w:val="right" w:leader="dot" w:pos="3942"/>
              </w:tabs>
              <w:spacing w:line="276" w:lineRule="auto"/>
              <w:ind w:left="216" w:hanging="216"/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t>Responses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BAEE4" w14:textId="77777777" w:rsidR="005574F9" w:rsidRPr="006C1D49" w:rsidRDefault="005574F9" w:rsidP="001C5A51">
            <w:pPr>
              <w:spacing w:line="276" w:lineRule="auto"/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t xml:space="preserve">Description </w:t>
            </w:r>
          </w:p>
        </w:tc>
      </w:tr>
      <w:tr w:rsidR="005574F9" w:rsidRPr="006C1D49" w14:paraId="42A8C9A4" w14:textId="77777777" w:rsidTr="001C5A51">
        <w:trPr>
          <w:jc w:val="center"/>
        </w:trPr>
        <w:tc>
          <w:tcPr>
            <w:tcW w:w="3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AA7DC6" w14:textId="77777777" w:rsidR="005574F9" w:rsidRPr="006C1D49" w:rsidRDefault="005574F9" w:rsidP="001C5A51">
            <w:pPr>
              <w:spacing w:line="276" w:lineRule="auto"/>
              <w:ind w:left="360" w:hanging="360"/>
              <w:rPr>
                <w:rFonts w:ascii="Calibri" w:eastAsia="Times New Roman" w:hAnsi="Calibri" w:cstheme="minorHAnsi"/>
                <w:i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t xml:space="preserve">Q1. </w:t>
            </w:r>
            <w:r w:rsidRPr="006C1D49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In the last six months, did any health care </w:t>
            </w:r>
            <w:proofErr w:type="gramStart"/>
            <w:r w:rsidRPr="006C1D49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provider 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community health worker </w:t>
            </w:r>
            <w:r w:rsidRPr="006C1D49">
              <w:rPr>
                <w:rFonts w:ascii="Calibri" w:hAnsi="Calibri" w:cs="Times New Roman"/>
                <w:color w:val="000000"/>
                <w:sz w:val="18"/>
                <w:szCs w:val="18"/>
              </w:rPr>
              <w:t>talk with you about how to feed your child?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8A7ECC0" w14:textId="468E1572" w:rsidR="005574F9" w:rsidRPr="006C1D49" w:rsidRDefault="00E559D2" w:rsidP="001C5A51">
            <w:pPr>
              <w:tabs>
                <w:tab w:val="right" w:leader="dot" w:pos="3942"/>
              </w:tabs>
              <w:spacing w:line="276" w:lineRule="auto"/>
              <w:ind w:left="216" w:hanging="216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YES</w:t>
            </w:r>
            <w:r w:rsidR="005574F9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  <w:t>1</w:t>
            </w:r>
            <w:r w:rsidR="005574F9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sym w:font="Wingdings" w:char="F0E0"/>
            </w:r>
            <w:r w:rsidR="005574F9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Q1</w:t>
            </w:r>
            <w:r w:rsidR="005574F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a</w:t>
            </w:r>
          </w:p>
          <w:p w14:paraId="2D3230BB" w14:textId="3473950A" w:rsidR="005574F9" w:rsidRPr="006C1D49" w:rsidRDefault="005574F9" w:rsidP="001C5A51">
            <w:pPr>
              <w:tabs>
                <w:tab w:val="right" w:leader="dot" w:pos="3942"/>
              </w:tabs>
              <w:spacing w:line="276" w:lineRule="auto"/>
              <w:ind w:left="216" w:hanging="216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N</w:t>
            </w:r>
            <w:r w:rsid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O</w:t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  <w:t>2</w:t>
            </w:r>
          </w:p>
          <w:p w14:paraId="79844B80" w14:textId="77777777" w:rsidR="005574F9" w:rsidRPr="006C1D49" w:rsidRDefault="005574F9" w:rsidP="001C5A51">
            <w:pPr>
              <w:tabs>
                <w:tab w:val="right" w:leader="dot" w:pos="3942"/>
              </w:tabs>
              <w:spacing w:line="276" w:lineRule="auto"/>
              <w:ind w:left="216" w:hanging="216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DK</w:t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157F9" w14:textId="77777777" w:rsidR="005574F9" w:rsidRPr="006C1D49" w:rsidRDefault="005574F9" w:rsidP="001C5A51">
            <w:pPr>
              <w:pStyle w:val="p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 xml:space="preserve">ADDITION.  To be asked with other questions on </w:t>
            </w:r>
            <w:r w:rsidRPr="006C1D49">
              <w:rPr>
                <w:rFonts w:ascii="Calibri" w:hAnsi="Calibri"/>
                <w:sz w:val="18"/>
                <w:szCs w:val="18"/>
              </w:rPr>
              <w:t>SECTION 6. CHILD HEALTH AND NUTRITION</w:t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, possibly after 652.</w:t>
            </w:r>
          </w:p>
        </w:tc>
      </w:tr>
      <w:tr w:rsidR="005574F9" w:rsidRPr="006C1D49" w14:paraId="439BFA35" w14:textId="77777777" w:rsidTr="001C5A51">
        <w:trPr>
          <w:jc w:val="center"/>
        </w:trPr>
        <w:tc>
          <w:tcPr>
            <w:tcW w:w="3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C7EC7" w14:textId="7B3AEB3C" w:rsidR="005574F9" w:rsidRDefault="005574F9" w:rsidP="001C5A51">
            <w:pPr>
              <w:spacing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lastRenderedPageBreak/>
              <w:t>Q</w:t>
            </w:r>
            <w:r w:rsidRPr="006C1D49">
              <w:rPr>
                <w:rStyle w:val="CommentReference"/>
                <w:sz w:val="18"/>
                <w:szCs w:val="18"/>
              </w:rPr>
              <w:t>1</w:t>
            </w:r>
            <w:r>
              <w:rPr>
                <w:rStyle w:val="CommentReference"/>
                <w:sz w:val="18"/>
                <w:szCs w:val="18"/>
              </w:rPr>
              <w:t>a</w:t>
            </w:r>
            <w:r w:rsidRPr="006C1D49"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  <w:t xml:space="preserve">. </w:t>
            </w:r>
            <w:r w:rsidRPr="006C1D49">
              <w:rPr>
                <w:rFonts w:ascii="Calibri" w:hAnsi="Calibri" w:cs="Times New Roman"/>
                <w:color w:val="000000"/>
                <w:sz w:val="18"/>
                <w:szCs w:val="18"/>
              </w:rPr>
              <w:t>What did the health care provider</w:t>
            </w:r>
            <w:r w:rsidR="006C2A13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community health worker</w:t>
            </w:r>
            <w:r w:rsidRPr="006C1D49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talk with you about?</w:t>
            </w:r>
            <w:r w:rsidRPr="006C1D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25A54" w14:textId="0AE22FAE" w:rsidR="00975A57" w:rsidRDefault="00975A57" w:rsidP="00975A57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Anything else?</w:t>
            </w:r>
          </w:p>
          <w:p w14:paraId="71A88F34" w14:textId="02800151" w:rsidR="005574F9" w:rsidRDefault="00975A57" w:rsidP="00975A57">
            <w:pPr>
              <w:spacing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</w:rPr>
              <w:t>RECORD ALL MENTIONED.</w:t>
            </w:r>
          </w:p>
          <w:p w14:paraId="6A8AA1D8" w14:textId="0A51B289" w:rsidR="005574F9" w:rsidRPr="006C1D49" w:rsidRDefault="005574F9" w:rsidP="001C5A51">
            <w:pPr>
              <w:spacing w:line="276" w:lineRule="auto"/>
              <w:ind w:left="360" w:hanging="360"/>
              <w:rPr>
                <w:rFonts w:ascii="Calibri" w:eastAsia="Times New Roman" w:hAnsi="Calibr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CDBCC" w14:textId="77777777" w:rsidR="00D21D96" w:rsidRDefault="006C2A13" w:rsidP="00D21D96">
            <w:pPr>
              <w:tabs>
                <w:tab w:val="right" w:leader="dot" w:pos="3942"/>
              </w:tabs>
              <w:spacing w:line="276" w:lineRule="auto"/>
              <w:ind w:left="-29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bookmarkStart w:id="4" w:name="_Hlk534375039"/>
            <w:r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BREASTFEEDING</w:t>
            </w:r>
            <w:r w:rsidR="00975A57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975A57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A</w:t>
            </w:r>
            <w:r w:rsidR="00975A57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975A57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NOT FEEDING WATER OR OTHER LIQUIDS BEFORE SIX MONTHS</w:t>
            </w:r>
            <w:r w:rsidR="00975A57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975A57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B</w:t>
            </w:r>
            <w:r w:rsidR="00E8522A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E8522A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INTRODUCING FOOD AND LIQUIDS (OTHER THAN BREASTMILK) WHEN THE BABY REACHES SIX MONTHS OF AGE</w:t>
            </w:r>
            <w:r w:rsidR="00E8522A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E8522A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C</w:t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F75888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GIVING A VARIETY OF FOODS</w:t>
            </w:r>
            <w:r w:rsidR="00F75888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D</w:t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F75888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GIVNG ANIMAL SOURCE FOODS SPECIFICALLY (E.G. EGGS, MILK, MEAT, FISH)</w:t>
            </w:r>
            <w:r w:rsidR="00F75888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E</w:t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9F79C7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HOW OFTEN TO FEED FOODS</w:t>
            </w:r>
            <w:r w:rsidR="00F75888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F75888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F</w:t>
            </w:r>
            <w:r w:rsidR="009F79C7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  <w:r w:rsidR="009F79C7" w:rsidRPr="00E559D2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NOT FEEDING SUGAR-SWEETENED BEVERAGES</w:t>
            </w:r>
            <w:r w:rsidR="009F79C7"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 w:rsidR="009F79C7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G</w:t>
            </w:r>
            <w:r w:rsidR="00D21D96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br/>
            </w:r>
          </w:p>
          <w:p w14:paraId="335981A9" w14:textId="3688D7D5" w:rsidR="005574F9" w:rsidRPr="00D21D96" w:rsidRDefault="00D21D96" w:rsidP="00D21D96">
            <w:pPr>
              <w:tabs>
                <w:tab w:val="right" w:leader="dot" w:pos="3942"/>
              </w:tabs>
              <w:spacing w:line="276" w:lineRule="auto"/>
              <w:ind w:left="-29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NONE</w:t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ab/>
            </w:r>
            <w:r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Y</w:t>
            </w:r>
            <w:bookmarkEnd w:id="4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FF2A2" w14:textId="77777777" w:rsidR="005574F9" w:rsidRPr="006C1D49" w:rsidRDefault="005574F9" w:rsidP="001C5A51">
            <w:pPr>
              <w:pStyle w:val="p1"/>
              <w:spacing w:line="276" w:lineRule="auto"/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</w:pP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 xml:space="preserve">ADDITION.  To be asked with other questions on </w:t>
            </w:r>
            <w:r w:rsidRPr="006C1D49">
              <w:rPr>
                <w:rFonts w:ascii="Calibri" w:hAnsi="Calibri"/>
                <w:sz w:val="18"/>
                <w:szCs w:val="18"/>
              </w:rPr>
              <w:t>SECTION 6. CHILD HEALTH AND NUTRITION</w:t>
            </w:r>
            <w:r w:rsidRPr="006C1D49">
              <w:rPr>
                <w:rFonts w:ascii="Calibri" w:eastAsia="Times New Roman" w:hAnsi="Calibri" w:cstheme="minorHAnsi"/>
                <w:sz w:val="18"/>
                <w:szCs w:val="18"/>
                <w:lang w:val="en-GB"/>
              </w:rPr>
              <w:t>, possibly after 652.</w:t>
            </w:r>
          </w:p>
        </w:tc>
      </w:tr>
    </w:tbl>
    <w:p w14:paraId="5FFD3C98" w14:textId="674F80EA" w:rsidR="00FA1BEA" w:rsidRDefault="00FA1BEA" w:rsidP="00ED6D89"/>
    <w:p w14:paraId="65828123" w14:textId="020AE11D" w:rsidR="00E42624" w:rsidRPr="00C84B88" w:rsidRDefault="00E42624" w:rsidP="00C420DE">
      <w:pPr>
        <w:tabs>
          <w:tab w:val="left" w:pos="900"/>
        </w:tabs>
        <w:ind w:left="810"/>
        <w:rPr>
          <w:b/>
        </w:rPr>
      </w:pPr>
      <w:r w:rsidRPr="00C84B88">
        <w:rPr>
          <w:b/>
        </w:rPr>
        <w:t>4.1.1</w:t>
      </w:r>
      <w:r w:rsidR="00264A83" w:rsidRPr="00C84B88">
        <w:rPr>
          <w:b/>
        </w:rPr>
        <w:t xml:space="preserve"> </w:t>
      </w:r>
      <w:r w:rsidR="00D00F57" w:rsidRPr="00C84B88">
        <w:rPr>
          <w:b/>
        </w:rPr>
        <w:t xml:space="preserve">If requesting multiple questions, please specify the relative priority of each new question. </w:t>
      </w:r>
    </w:p>
    <w:p w14:paraId="54B6C061" w14:textId="1E5F6937" w:rsidR="00ED6D89" w:rsidRDefault="006C2A13" w:rsidP="00C84B88">
      <w:pPr>
        <w:jc w:val="both"/>
      </w:pPr>
      <w:r w:rsidRPr="00C84B88">
        <w:t xml:space="preserve">Q1 is </w:t>
      </w:r>
      <w:r w:rsidR="00C22FBC" w:rsidRPr="00C84B88">
        <w:t>highest priority and Q</w:t>
      </w:r>
      <w:r w:rsidR="00C22FBC">
        <w:t>1a</w:t>
      </w:r>
      <w:r w:rsidR="00C22FBC" w:rsidRPr="00C84B88">
        <w:t xml:space="preserve"> is highly recommended for inclusion. </w:t>
      </w:r>
    </w:p>
    <w:p w14:paraId="24342D71" w14:textId="0E8520E9" w:rsidR="00D00F57" w:rsidRPr="00AC1CA1" w:rsidRDefault="00E42624" w:rsidP="00C420DE">
      <w:pPr>
        <w:tabs>
          <w:tab w:val="left" w:pos="810"/>
        </w:tabs>
        <w:ind w:left="810" w:hanging="450"/>
        <w:rPr>
          <w:b/>
        </w:rPr>
      </w:pPr>
      <w:r w:rsidRPr="00AC1CA1">
        <w:rPr>
          <w:b/>
        </w:rPr>
        <w:t>4</w:t>
      </w:r>
      <w:r w:rsidR="00264A83" w:rsidRPr="00AC1CA1">
        <w:rPr>
          <w:b/>
        </w:rPr>
        <w:t>.2</w:t>
      </w:r>
      <w:r w:rsidR="00C420DE" w:rsidRPr="00AC1CA1">
        <w:rPr>
          <w:b/>
        </w:rPr>
        <w:t>.</w:t>
      </w:r>
      <w:r w:rsidR="00D00F57" w:rsidRPr="00AC1CA1">
        <w:rPr>
          <w:b/>
        </w:rPr>
        <w:t xml:space="preserve"> </w:t>
      </w:r>
      <w:r w:rsidR="00264A83" w:rsidRPr="00AC1CA1">
        <w:rPr>
          <w:b/>
        </w:rPr>
        <w:tab/>
      </w:r>
      <w:r w:rsidR="00D00F57" w:rsidRPr="00AC1CA1">
        <w:rPr>
          <w:b/>
        </w:rPr>
        <w:t>For revisions to existing questions</w:t>
      </w:r>
      <w:r w:rsidR="00CE7ABE" w:rsidRPr="00AC1CA1">
        <w:rPr>
          <w:b/>
        </w:rPr>
        <w:t>: P</w:t>
      </w:r>
      <w:r w:rsidR="00D00F57" w:rsidRPr="00AC1CA1">
        <w:rPr>
          <w:b/>
        </w:rPr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AC1CA1" w:rsidRPr="00AC1CA1" w14:paraId="665D0FE6" w14:textId="77777777" w:rsidTr="001C5A51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263BD65D" w14:textId="77777777" w:rsidR="00E3288D" w:rsidRPr="00AC1CA1" w:rsidRDefault="00E3288D" w:rsidP="001C5A51">
            <w:pPr>
              <w:ind w:left="-22"/>
              <w:jc w:val="center"/>
              <w:rPr>
                <w:b/>
              </w:rPr>
            </w:pPr>
            <w:r w:rsidRPr="00AC1CA1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609B86F3" w14:textId="77777777" w:rsidR="00E3288D" w:rsidRPr="00AC1CA1" w:rsidRDefault="00E3288D" w:rsidP="001C5A51">
            <w:pPr>
              <w:ind w:left="-22"/>
              <w:jc w:val="center"/>
              <w:rPr>
                <w:b/>
                <w:i/>
              </w:rPr>
            </w:pPr>
            <w:r w:rsidRPr="00AC1CA1">
              <w:rPr>
                <w:b/>
                <w:i/>
              </w:rPr>
              <w:t>DHS-7 question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994F7F6" w14:textId="77777777" w:rsidR="00E3288D" w:rsidRPr="00AC1CA1" w:rsidRDefault="00E3288D" w:rsidP="001C5A51">
            <w:pPr>
              <w:ind w:left="-22"/>
              <w:jc w:val="center"/>
              <w:rPr>
                <w:b/>
              </w:rPr>
            </w:pPr>
            <w:r w:rsidRPr="00AC1CA1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72F9707B" w14:textId="77777777" w:rsidR="00E3288D" w:rsidRPr="00AC1CA1" w:rsidRDefault="00E3288D" w:rsidP="001C5A51">
            <w:pPr>
              <w:ind w:left="-22"/>
              <w:jc w:val="center"/>
              <w:rPr>
                <w:b/>
              </w:rPr>
            </w:pPr>
            <w:r w:rsidRPr="00AC1CA1">
              <w:rPr>
                <w:b/>
              </w:rPr>
              <w:t>Rationale</w:t>
            </w:r>
          </w:p>
        </w:tc>
      </w:tr>
      <w:tr w:rsidR="004C6989" w:rsidRPr="00AC1CA1" w14:paraId="7CEC5C46" w14:textId="77777777" w:rsidTr="001C5A51">
        <w:tc>
          <w:tcPr>
            <w:tcW w:w="1075" w:type="dxa"/>
          </w:tcPr>
          <w:p w14:paraId="331A4279" w14:textId="4C3F911D" w:rsidR="004C6989" w:rsidRDefault="004C6989" w:rsidP="004C6989">
            <w:pPr>
              <w:tabs>
                <w:tab w:val="left" w:pos="810"/>
              </w:tabs>
              <w:ind w:left="810" w:hanging="450"/>
            </w:pPr>
            <w:r>
              <w:t>470</w:t>
            </w:r>
          </w:p>
          <w:p w14:paraId="09E0EF60" w14:textId="77777777" w:rsidR="004C6989" w:rsidRPr="00AC1CA1" w:rsidRDefault="004C6989" w:rsidP="004C6989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193583C" w14:textId="21D88F0E" w:rsidR="004C6989" w:rsidRPr="00AC1CA1" w:rsidRDefault="004C6989" w:rsidP="004C6989">
            <w:pPr>
              <w:spacing w:line="276" w:lineRule="auto"/>
              <w:ind w:left="256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Did (NAME) drink anything from a bottle with a nipple yesterday or last night?</w:t>
            </w:r>
          </w:p>
        </w:tc>
        <w:tc>
          <w:tcPr>
            <w:tcW w:w="2520" w:type="dxa"/>
          </w:tcPr>
          <w:p w14:paraId="70A40C8B" w14:textId="727C33B5" w:rsidR="004C6989" w:rsidRPr="00AC1CA1" w:rsidRDefault="004C6989" w:rsidP="004C6989">
            <w:pPr>
              <w:spacing w:line="276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Keep question but only ask for children under 24 months (currently asked for live births during the last 3-5 </w:t>
            </w:r>
            <w:proofErr w:type="gramStart"/>
            <w:r>
              <w:rPr>
                <w:rFonts w:eastAsia="Times New Roman" w:cstheme="minorHAnsi"/>
                <w:lang w:val="en-GB"/>
              </w:rPr>
              <w:t>years)*</w:t>
            </w:r>
            <w:proofErr w:type="gramEnd"/>
          </w:p>
        </w:tc>
        <w:tc>
          <w:tcPr>
            <w:tcW w:w="2790" w:type="dxa"/>
          </w:tcPr>
          <w:p w14:paraId="60822C5A" w14:textId="3FBDE162" w:rsidR="004C6989" w:rsidRPr="00AC1CA1" w:rsidRDefault="004C6989" w:rsidP="004C6989">
            <w:pPr>
              <w:tabs>
                <w:tab w:val="left" w:pos="360"/>
              </w:tabs>
              <w:ind w:left="256"/>
            </w:pPr>
            <w:r>
              <w:t>Information on bottle feeding for children above 2 years old is not actionable. MICS only asked bottle feeding for &lt;24 months.</w:t>
            </w:r>
          </w:p>
        </w:tc>
      </w:tr>
      <w:tr w:rsidR="004C6989" w:rsidRPr="00AC1CA1" w14:paraId="3618446F" w14:textId="77777777" w:rsidTr="001C5A51">
        <w:tc>
          <w:tcPr>
            <w:tcW w:w="1075" w:type="dxa"/>
          </w:tcPr>
          <w:p w14:paraId="11906F3B" w14:textId="4CDB8CE4" w:rsidR="004C6989" w:rsidRPr="00AC1CA1" w:rsidDel="00C22FBC" w:rsidRDefault="004C6989" w:rsidP="004C6989">
            <w:pPr>
              <w:tabs>
                <w:tab w:val="left" w:pos="810"/>
              </w:tabs>
              <w:ind w:left="810" w:hanging="450"/>
            </w:pPr>
            <w:r>
              <w:t>653</w:t>
            </w:r>
          </w:p>
        </w:tc>
        <w:tc>
          <w:tcPr>
            <w:tcW w:w="2520" w:type="dxa"/>
          </w:tcPr>
          <w:p w14:paraId="6D07F3DC" w14:textId="2B35DFE8" w:rsidR="004C6989" w:rsidRPr="00AC1CA1" w:rsidDel="00C22FBC" w:rsidRDefault="004C6989" w:rsidP="004C6989">
            <w:pPr>
              <w:spacing w:line="276" w:lineRule="auto"/>
              <w:ind w:left="256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How many times did (NAME from 649) eat solid, semi-solid, or soft foods yesterday during the day or at night? IF 7 OR MORE TIMES, RECORD ‘7.’</w:t>
            </w:r>
          </w:p>
        </w:tc>
        <w:tc>
          <w:tcPr>
            <w:tcW w:w="2520" w:type="dxa"/>
          </w:tcPr>
          <w:p w14:paraId="65233F6C" w14:textId="45A312AB" w:rsidR="004C6989" w:rsidRPr="00AC1CA1" w:rsidDel="00C22FBC" w:rsidRDefault="004C6989" w:rsidP="004C6989">
            <w:pPr>
              <w:spacing w:line="276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Keep question but do not ask for children &lt;6 months (currently asked for children &lt;24 months)</w:t>
            </w:r>
          </w:p>
        </w:tc>
        <w:tc>
          <w:tcPr>
            <w:tcW w:w="2790" w:type="dxa"/>
          </w:tcPr>
          <w:p w14:paraId="1444FFDC" w14:textId="7C14D101" w:rsidR="004C6989" w:rsidRPr="00AC1CA1" w:rsidDel="00C22FBC" w:rsidRDefault="004C6989" w:rsidP="004C6989">
            <w:pPr>
              <w:tabs>
                <w:tab w:val="left" w:pos="360"/>
              </w:tabs>
              <w:ind w:left="256"/>
            </w:pPr>
            <w:r>
              <w:t>Not included in the tabulation of minimum meal frequency indicator</w:t>
            </w:r>
          </w:p>
        </w:tc>
      </w:tr>
    </w:tbl>
    <w:p w14:paraId="358F50EA" w14:textId="3A753C40" w:rsidR="00D00F57" w:rsidRPr="00886DF1" w:rsidRDefault="00D00F57" w:rsidP="008A5148">
      <w:pPr>
        <w:tabs>
          <w:tab w:val="left" w:pos="810"/>
        </w:tabs>
        <w:rPr>
          <w:color w:val="A5A5A5" w:themeColor="accent3"/>
        </w:rPr>
      </w:pPr>
    </w:p>
    <w:p w14:paraId="00ECAA04" w14:textId="23192573" w:rsidR="00D00F57" w:rsidRPr="00886DF1" w:rsidRDefault="00E42624" w:rsidP="00C420DE">
      <w:pPr>
        <w:tabs>
          <w:tab w:val="left" w:pos="810"/>
        </w:tabs>
        <w:ind w:left="810" w:hanging="450"/>
        <w:rPr>
          <w:b/>
          <w:color w:val="A5A5A5" w:themeColor="accent3"/>
        </w:rPr>
      </w:pPr>
      <w:r w:rsidRPr="00886DF1">
        <w:rPr>
          <w:b/>
          <w:color w:val="A5A5A5" w:themeColor="accent3"/>
        </w:rPr>
        <w:t>4</w:t>
      </w:r>
      <w:r w:rsidR="00D00F57" w:rsidRPr="00886DF1">
        <w:rPr>
          <w:b/>
          <w:color w:val="A5A5A5" w:themeColor="accent3"/>
        </w:rPr>
        <w:t>.</w:t>
      </w:r>
      <w:r w:rsidR="008A5148" w:rsidRPr="00886DF1">
        <w:rPr>
          <w:b/>
          <w:color w:val="A5A5A5" w:themeColor="accent3"/>
        </w:rPr>
        <w:t>3</w:t>
      </w:r>
      <w:r w:rsidR="00C420DE" w:rsidRPr="00886DF1">
        <w:rPr>
          <w:b/>
          <w:color w:val="A5A5A5" w:themeColor="accent3"/>
        </w:rPr>
        <w:t>.</w:t>
      </w:r>
      <w:r w:rsidR="00D00F57" w:rsidRPr="00886DF1">
        <w:rPr>
          <w:b/>
          <w:color w:val="A5A5A5" w:themeColor="accent3"/>
        </w:rPr>
        <w:t xml:space="preserve"> </w:t>
      </w:r>
      <w:r w:rsidR="00264A83" w:rsidRPr="00886DF1">
        <w:rPr>
          <w:b/>
          <w:color w:val="A5A5A5" w:themeColor="accent3"/>
        </w:rPr>
        <w:tab/>
      </w:r>
      <w:r w:rsidR="00D00F57" w:rsidRPr="00886DF1">
        <w:rPr>
          <w:b/>
          <w:color w:val="A5A5A5" w:themeColor="accent3"/>
        </w:rPr>
        <w:t xml:space="preserve">For </w:t>
      </w:r>
      <w:r w:rsidR="00DA1513" w:rsidRPr="00886DF1">
        <w:rPr>
          <w:b/>
          <w:color w:val="A5A5A5" w:themeColor="accent3"/>
        </w:rPr>
        <w:t xml:space="preserve">anthropometry and </w:t>
      </w:r>
      <w:r w:rsidR="00D00F57" w:rsidRPr="00886DF1">
        <w:rPr>
          <w:b/>
          <w:color w:val="A5A5A5" w:themeColor="accent3"/>
        </w:rPr>
        <w:t xml:space="preserve">biomarkers: </w:t>
      </w:r>
      <w:r w:rsidR="00987251" w:rsidRPr="00886DF1">
        <w:rPr>
          <w:b/>
          <w:color w:val="A5A5A5" w:themeColor="accent3"/>
        </w:rPr>
        <w:t xml:space="preserve">Please </w:t>
      </w:r>
      <w:r w:rsidR="00D00F57" w:rsidRPr="00886DF1">
        <w:rPr>
          <w:b/>
          <w:color w:val="A5A5A5" w:themeColor="accent3"/>
        </w:rPr>
        <w:t xml:space="preserve">describe the </w:t>
      </w:r>
      <w:r w:rsidR="00DA1513" w:rsidRPr="00886DF1">
        <w:rPr>
          <w:b/>
          <w:color w:val="A5A5A5" w:themeColor="accent3"/>
        </w:rPr>
        <w:t xml:space="preserve">measurement procedures or </w:t>
      </w:r>
      <w:r w:rsidR="00D00F57" w:rsidRPr="00886DF1">
        <w:rPr>
          <w:b/>
          <w:color w:val="A5A5A5" w:themeColor="accent3"/>
        </w:rPr>
        <w:t xml:space="preserve">specimen collection </w:t>
      </w:r>
      <w:r w:rsidR="00DA1513" w:rsidRPr="00886DF1">
        <w:rPr>
          <w:b/>
          <w:color w:val="A5A5A5" w:themeColor="accent3"/>
        </w:rPr>
        <w:t>procedures, point-of-care or laboratory testing</w:t>
      </w:r>
      <w:r w:rsidR="00D00F57" w:rsidRPr="00886DF1">
        <w:rPr>
          <w:b/>
          <w:color w:val="A5A5A5" w:themeColor="accent3"/>
        </w:rPr>
        <w:t xml:space="preserve"> procedures</w:t>
      </w:r>
      <w:r w:rsidR="00DA1513" w:rsidRPr="00886DF1">
        <w:rPr>
          <w:b/>
          <w:color w:val="A5A5A5" w:themeColor="accent3"/>
        </w:rPr>
        <w:t xml:space="preserve"> (as relevant), and any</w:t>
      </w:r>
      <w:r w:rsidR="00D00F57" w:rsidRPr="00886DF1">
        <w:rPr>
          <w:b/>
          <w:color w:val="A5A5A5" w:themeColor="accent3"/>
        </w:rPr>
        <w:t xml:space="preserve"> recommendations for return of results.</w:t>
      </w:r>
    </w:p>
    <w:p w14:paraId="03A4ED1F" w14:textId="5CC862DA" w:rsidR="00D00F57" w:rsidRPr="00886DF1" w:rsidRDefault="007752AC" w:rsidP="00220325">
      <w:pPr>
        <w:rPr>
          <w:color w:val="A5A5A5" w:themeColor="accent3"/>
        </w:rPr>
      </w:pPr>
      <w:r w:rsidRPr="00886DF1">
        <w:rPr>
          <w:color w:val="A5A5A5" w:themeColor="accent3"/>
        </w:rPr>
        <w:t>N/A</w:t>
      </w:r>
    </w:p>
    <w:p w14:paraId="55448F5E" w14:textId="02FDF31B" w:rsidR="00D00F57" w:rsidRPr="00F328D2" w:rsidRDefault="00ED6D89" w:rsidP="00ED6D89">
      <w:pPr>
        <w:tabs>
          <w:tab w:val="left" w:pos="360"/>
        </w:tabs>
        <w:ind w:left="360" w:hanging="360"/>
        <w:rPr>
          <w:b/>
        </w:rPr>
      </w:pPr>
      <w:r w:rsidRPr="00F328D2">
        <w:rPr>
          <w:b/>
        </w:rPr>
        <w:lastRenderedPageBreak/>
        <w:t>5.</w:t>
      </w:r>
      <w:r w:rsidRPr="00F328D2">
        <w:rPr>
          <w:b/>
        </w:rPr>
        <w:tab/>
      </w:r>
      <w:r w:rsidR="00D00F57" w:rsidRPr="00F328D2">
        <w:rPr>
          <w:b/>
        </w:rPr>
        <w:t>Can any related questions be deleted from the questionnaire to make room for the proposed new content?</w:t>
      </w:r>
      <w:r w:rsidR="00034FA5" w:rsidRPr="00F328D2">
        <w:rPr>
          <w:b/>
        </w:rPr>
        <w:t xml:space="preserve"> If </w:t>
      </w:r>
      <w:proofErr w:type="gramStart"/>
      <w:r w:rsidR="00034FA5" w:rsidRPr="00F328D2">
        <w:rPr>
          <w:b/>
        </w:rPr>
        <w:t>so</w:t>
      </w:r>
      <w:proofErr w:type="gramEnd"/>
      <w:r w:rsidR="00034FA5" w:rsidRPr="00F328D2">
        <w:rPr>
          <w:b/>
        </w:rPr>
        <w:t xml:space="preserve"> please specify which questions using the DHS-7 question numbers. 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627"/>
        <w:gridCol w:w="2352"/>
        <w:gridCol w:w="2315"/>
        <w:gridCol w:w="2611"/>
      </w:tblGrid>
      <w:tr w:rsidR="00C22FBC" w:rsidRPr="00220325" w14:paraId="505D7535" w14:textId="77777777" w:rsidTr="00F328D2">
        <w:tc>
          <w:tcPr>
            <w:tcW w:w="1627" w:type="dxa"/>
            <w:shd w:val="clear" w:color="auto" w:fill="BFBFBF" w:themeFill="background1" w:themeFillShade="BF"/>
            <w:vAlign w:val="bottom"/>
          </w:tcPr>
          <w:p w14:paraId="40638C6A" w14:textId="77777777" w:rsidR="00C22FBC" w:rsidRPr="006847EB" w:rsidRDefault="00C22FBC" w:rsidP="001C5A51">
            <w:pPr>
              <w:ind w:left="-22"/>
              <w:jc w:val="center"/>
              <w:rPr>
                <w:b/>
                <w:color w:val="D9D9D9" w:themeColor="background1" w:themeShade="D9"/>
              </w:rPr>
            </w:pPr>
            <w:r w:rsidRPr="006847EB">
              <w:rPr>
                <w:b/>
                <w:color w:val="D9D9D9" w:themeColor="background1" w:themeShade="D9"/>
              </w:rPr>
              <w:t>DHS-7 question number</w:t>
            </w:r>
          </w:p>
        </w:tc>
        <w:tc>
          <w:tcPr>
            <w:tcW w:w="2352" w:type="dxa"/>
            <w:shd w:val="clear" w:color="auto" w:fill="BFBFBF" w:themeFill="background1" w:themeFillShade="BF"/>
            <w:vAlign w:val="bottom"/>
          </w:tcPr>
          <w:p w14:paraId="460E8F6E" w14:textId="77777777" w:rsidR="00C22FBC" w:rsidRPr="006847EB" w:rsidRDefault="00C22FBC" w:rsidP="001C5A51">
            <w:pPr>
              <w:ind w:left="-22"/>
              <w:jc w:val="center"/>
              <w:rPr>
                <w:b/>
                <w:i/>
                <w:color w:val="D9D9D9" w:themeColor="background1" w:themeShade="D9"/>
              </w:rPr>
            </w:pPr>
            <w:r w:rsidRPr="006847EB">
              <w:rPr>
                <w:b/>
                <w:i/>
                <w:color w:val="D9D9D9" w:themeColor="background1" w:themeShade="D9"/>
              </w:rPr>
              <w:t>DHS-7 question text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bottom"/>
          </w:tcPr>
          <w:p w14:paraId="37A14F65" w14:textId="6A0D29EF" w:rsidR="00C22FBC" w:rsidRPr="006847EB" w:rsidRDefault="00C22FBC" w:rsidP="001C5A51">
            <w:pPr>
              <w:ind w:left="-22"/>
              <w:jc w:val="center"/>
              <w:rPr>
                <w:b/>
                <w:color w:val="D9D9D9" w:themeColor="background1" w:themeShade="D9"/>
              </w:rPr>
            </w:pPr>
            <w:r w:rsidRPr="006847EB">
              <w:rPr>
                <w:b/>
                <w:color w:val="D9D9D9" w:themeColor="background1" w:themeShade="D9"/>
              </w:rPr>
              <w:t>Proposed deletion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bottom"/>
          </w:tcPr>
          <w:p w14:paraId="426FA6C4" w14:textId="77777777" w:rsidR="00C22FBC" w:rsidRPr="006847EB" w:rsidRDefault="00C22FBC" w:rsidP="001C5A51">
            <w:pPr>
              <w:ind w:left="-22"/>
              <w:jc w:val="center"/>
              <w:rPr>
                <w:b/>
                <w:color w:val="D9D9D9" w:themeColor="background1" w:themeShade="D9"/>
              </w:rPr>
            </w:pPr>
            <w:r w:rsidRPr="006847EB">
              <w:rPr>
                <w:b/>
                <w:color w:val="D9D9D9" w:themeColor="background1" w:themeShade="D9"/>
              </w:rPr>
              <w:t>Rationale</w:t>
            </w:r>
          </w:p>
        </w:tc>
      </w:tr>
      <w:tr w:rsidR="00116C40" w14:paraId="5EA75757" w14:textId="77777777" w:rsidTr="00F328D2">
        <w:tc>
          <w:tcPr>
            <w:tcW w:w="1627" w:type="dxa"/>
          </w:tcPr>
          <w:p w14:paraId="6EB54188" w14:textId="77777777" w:rsidR="00116C40" w:rsidRPr="006847EB" w:rsidRDefault="00116C40" w:rsidP="00116C40">
            <w:pPr>
              <w:tabs>
                <w:tab w:val="left" w:pos="810"/>
              </w:tabs>
              <w:ind w:left="810" w:hanging="450"/>
              <w:rPr>
                <w:color w:val="D9D9D9" w:themeColor="background1" w:themeShade="D9"/>
              </w:rPr>
            </w:pPr>
          </w:p>
        </w:tc>
        <w:tc>
          <w:tcPr>
            <w:tcW w:w="2352" w:type="dxa"/>
          </w:tcPr>
          <w:p w14:paraId="3A9FE68F" w14:textId="135AF737" w:rsidR="00116C40" w:rsidRPr="006847EB" w:rsidRDefault="00116C40" w:rsidP="00116C40">
            <w:pPr>
              <w:spacing w:line="276" w:lineRule="auto"/>
              <w:ind w:left="256"/>
              <w:rPr>
                <w:rFonts w:eastAsia="Times New Roman" w:cstheme="minorHAnsi"/>
                <w:color w:val="D9D9D9" w:themeColor="background1" w:themeShade="D9"/>
                <w:lang w:val="en-GB"/>
              </w:rPr>
            </w:pPr>
          </w:p>
        </w:tc>
        <w:tc>
          <w:tcPr>
            <w:tcW w:w="2315" w:type="dxa"/>
          </w:tcPr>
          <w:p w14:paraId="235CC202" w14:textId="23CAC64F" w:rsidR="00116C40" w:rsidRPr="006847EB" w:rsidRDefault="00116C40" w:rsidP="00116C40">
            <w:pPr>
              <w:spacing w:line="276" w:lineRule="auto"/>
              <w:rPr>
                <w:rFonts w:eastAsia="Times New Roman" w:cstheme="minorHAnsi"/>
                <w:color w:val="D9D9D9" w:themeColor="background1" w:themeShade="D9"/>
                <w:lang w:val="en-GB"/>
              </w:rPr>
            </w:pPr>
          </w:p>
        </w:tc>
        <w:tc>
          <w:tcPr>
            <w:tcW w:w="2611" w:type="dxa"/>
          </w:tcPr>
          <w:p w14:paraId="388B9A33" w14:textId="22780A05" w:rsidR="00116C40" w:rsidRPr="006847EB" w:rsidRDefault="00116C40" w:rsidP="00116C40">
            <w:pPr>
              <w:tabs>
                <w:tab w:val="left" w:pos="360"/>
              </w:tabs>
              <w:ind w:left="256"/>
              <w:rPr>
                <w:color w:val="D9D9D9" w:themeColor="background1" w:themeShade="D9"/>
              </w:rPr>
            </w:pPr>
          </w:p>
        </w:tc>
      </w:tr>
      <w:tr w:rsidR="00116C40" w14:paraId="63CB7B57" w14:textId="77777777" w:rsidTr="00F328D2">
        <w:tc>
          <w:tcPr>
            <w:tcW w:w="1627" w:type="dxa"/>
          </w:tcPr>
          <w:p w14:paraId="293CADD7" w14:textId="722517D6" w:rsidR="00116C40" w:rsidRPr="006847EB" w:rsidRDefault="00116C40" w:rsidP="00116C40">
            <w:pPr>
              <w:tabs>
                <w:tab w:val="left" w:pos="810"/>
              </w:tabs>
              <w:ind w:left="810" w:hanging="450"/>
              <w:rPr>
                <w:color w:val="D9D9D9" w:themeColor="background1" w:themeShade="D9"/>
              </w:rPr>
            </w:pPr>
          </w:p>
        </w:tc>
        <w:tc>
          <w:tcPr>
            <w:tcW w:w="2352" w:type="dxa"/>
          </w:tcPr>
          <w:p w14:paraId="17E5CACE" w14:textId="14106B86" w:rsidR="00116C40" w:rsidRPr="006847EB" w:rsidRDefault="00116C40" w:rsidP="00116C40">
            <w:pPr>
              <w:spacing w:line="276" w:lineRule="auto"/>
              <w:ind w:left="256"/>
              <w:rPr>
                <w:rFonts w:eastAsia="Times New Roman" w:cstheme="minorHAnsi"/>
                <w:color w:val="D9D9D9" w:themeColor="background1" w:themeShade="D9"/>
                <w:lang w:val="en-GB"/>
              </w:rPr>
            </w:pPr>
          </w:p>
        </w:tc>
        <w:tc>
          <w:tcPr>
            <w:tcW w:w="2315" w:type="dxa"/>
          </w:tcPr>
          <w:p w14:paraId="65A1EF11" w14:textId="0A7CE4F6" w:rsidR="00116C40" w:rsidRPr="006847EB" w:rsidRDefault="00116C40" w:rsidP="00116C40">
            <w:pPr>
              <w:spacing w:line="276" w:lineRule="auto"/>
              <w:rPr>
                <w:rFonts w:eastAsia="Times New Roman" w:cstheme="minorHAnsi"/>
                <w:color w:val="D9D9D9" w:themeColor="background1" w:themeShade="D9"/>
                <w:lang w:val="en-GB"/>
              </w:rPr>
            </w:pPr>
          </w:p>
        </w:tc>
        <w:tc>
          <w:tcPr>
            <w:tcW w:w="2611" w:type="dxa"/>
          </w:tcPr>
          <w:p w14:paraId="105D3BCA" w14:textId="74687879" w:rsidR="00116C40" w:rsidRPr="006847EB" w:rsidRDefault="00116C40" w:rsidP="00116C40">
            <w:pPr>
              <w:tabs>
                <w:tab w:val="left" w:pos="360"/>
              </w:tabs>
              <w:ind w:left="256"/>
              <w:rPr>
                <w:color w:val="D9D9D9" w:themeColor="background1" w:themeShade="D9"/>
              </w:rPr>
            </w:pPr>
          </w:p>
        </w:tc>
      </w:tr>
    </w:tbl>
    <w:p w14:paraId="458DE6A1" w14:textId="72009F61" w:rsidR="00C73D70" w:rsidRDefault="00C73D70" w:rsidP="00C73D70">
      <w:pPr>
        <w:pStyle w:val="Footer"/>
        <w:jc w:val="both"/>
      </w:pPr>
      <w:r>
        <w:t xml:space="preserve">*We support the newborn community’s recommendation to modify all Section 4. Pregnancy and Postnatal Care to include live births occurring in the previous 2 years. This would be advantageous to reduce data collection burden, align with MICS, and improve data quality. If this recommendation is adopted, the </w:t>
      </w:r>
      <w:r w:rsidR="00D303D3">
        <w:t>proposed change to Q470 would be automatically adopted.</w:t>
      </w:r>
    </w:p>
    <w:p w14:paraId="59379CF9" w14:textId="77777777" w:rsidR="00C73D70" w:rsidRDefault="00C73D70" w:rsidP="00ED6D89">
      <w:pPr>
        <w:tabs>
          <w:tab w:val="left" w:pos="360"/>
        </w:tabs>
        <w:ind w:left="360" w:hanging="360"/>
        <w:rPr>
          <w:b/>
        </w:rPr>
      </w:pPr>
    </w:p>
    <w:p w14:paraId="75B605B2" w14:textId="5AD5DACC" w:rsidR="00264A83" w:rsidRPr="00F328D2" w:rsidRDefault="00ED6D89" w:rsidP="00ED6D89">
      <w:pPr>
        <w:tabs>
          <w:tab w:val="left" w:pos="360"/>
        </w:tabs>
        <w:ind w:left="360" w:hanging="360"/>
        <w:rPr>
          <w:b/>
        </w:rPr>
      </w:pPr>
      <w:r w:rsidRPr="00F328D2">
        <w:rPr>
          <w:b/>
        </w:rPr>
        <w:t xml:space="preserve">6. </w:t>
      </w:r>
      <w:r w:rsidRPr="00F328D2">
        <w:rPr>
          <w:b/>
        </w:rPr>
        <w:tab/>
      </w:r>
      <w:r w:rsidR="00264A83" w:rsidRPr="00F328D2">
        <w:rPr>
          <w:b/>
        </w:rPr>
        <w:t>What are the implications of these requested changes on measurement of trends using DHS data?</w:t>
      </w:r>
    </w:p>
    <w:p w14:paraId="01728479" w14:textId="3ADB4F74" w:rsidR="00BF4DFF" w:rsidRDefault="007F139B" w:rsidP="001C5A51">
      <w:pPr>
        <w:jc w:val="both"/>
      </w:pPr>
      <w:r>
        <w:t>There are n</w:t>
      </w:r>
      <w:r w:rsidR="002B7360">
        <w:t>o implications on measuring trends since these are two new indicators.</w:t>
      </w:r>
      <w:r w:rsidR="00F328D2">
        <w:t xml:space="preserve"> The requested deletions </w:t>
      </w:r>
      <w:r w:rsidR="00A715E9">
        <w:t>would reflect what</w:t>
      </w:r>
      <w:r>
        <w:t xml:space="preserve"> i</w:t>
      </w:r>
      <w:r w:rsidR="00A715E9">
        <w:t>s currently tabulated</w:t>
      </w:r>
      <w:r w:rsidR="00C646AC">
        <w:t>.</w:t>
      </w: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Pr="000423E9" w:rsidRDefault="00ED6D89" w:rsidP="00ED6D89">
      <w:pPr>
        <w:tabs>
          <w:tab w:val="left" w:pos="360"/>
        </w:tabs>
        <w:ind w:left="360" w:hanging="360"/>
        <w:rPr>
          <w:b/>
        </w:rPr>
      </w:pPr>
      <w:r w:rsidRPr="000423E9">
        <w:rPr>
          <w:b/>
        </w:rPr>
        <w:t>7.</w:t>
      </w:r>
      <w:r w:rsidRPr="000423E9">
        <w:rPr>
          <w:b/>
        </w:rPr>
        <w:tab/>
      </w:r>
      <w:r w:rsidR="000278F5" w:rsidRPr="000423E9">
        <w:rPr>
          <w:b/>
        </w:rPr>
        <w:t>I</w:t>
      </w:r>
      <w:r w:rsidR="00BE4C32" w:rsidRPr="000423E9">
        <w:rPr>
          <w:b/>
        </w:rPr>
        <w:t xml:space="preserve">ndicate how </w:t>
      </w:r>
      <w:r w:rsidR="000278F5" w:rsidRPr="000423E9">
        <w:rPr>
          <w:b/>
        </w:rPr>
        <w:t>to calculate the indicator</w:t>
      </w:r>
      <w:r w:rsidR="00264A83" w:rsidRPr="000423E9">
        <w:rPr>
          <w:b/>
        </w:rPr>
        <w:t>(s)</w:t>
      </w:r>
      <w:r w:rsidR="000278F5" w:rsidRPr="000423E9">
        <w:rPr>
          <w:b/>
        </w:rPr>
        <w:t xml:space="preserve">. Include detailed definitions of </w:t>
      </w:r>
      <w:r w:rsidR="00BE4C32" w:rsidRPr="000423E9">
        <w:rPr>
          <w:b/>
        </w:rPr>
        <w:t>the numerator and denominator</w:t>
      </w:r>
      <w:r w:rsidR="00264A83" w:rsidRPr="000423E9">
        <w:rPr>
          <w:b/>
        </w:rPr>
        <w:t xml:space="preserve"> of each individual indicator</w:t>
      </w:r>
      <w:r w:rsidR="000278F5" w:rsidRPr="000423E9">
        <w:rPr>
          <w:b/>
        </w:rPr>
        <w:t>.</w:t>
      </w:r>
      <w:r w:rsidR="00CE7ABE" w:rsidRPr="000423E9">
        <w:rPr>
          <w:b/>
        </w:rPr>
        <w:t xml:space="preserve"> If you have developed a tabulation plan for the indicator(s), please attach a file including the suggested table(s) with your submission.</w:t>
      </w:r>
    </w:p>
    <w:p w14:paraId="6376BEC7" w14:textId="7EB95156" w:rsidR="002B7360" w:rsidRPr="005574F9" w:rsidRDefault="002B7360" w:rsidP="00B55EF7">
      <w:pPr>
        <w:pStyle w:val="ListParagraph"/>
        <w:numPr>
          <w:ilvl w:val="0"/>
          <w:numId w:val="49"/>
        </w:numPr>
        <w:jc w:val="both"/>
      </w:pPr>
      <w:r w:rsidRPr="00B55EF7">
        <w:rPr>
          <w:b/>
        </w:rPr>
        <w:t>Mothers with children 6-23 months who received any IYCF counseling</w:t>
      </w:r>
    </w:p>
    <w:p w14:paraId="3024343E" w14:textId="4003F5EC" w:rsidR="000C010E" w:rsidRPr="006A2DB8" w:rsidRDefault="000C010E" w:rsidP="000423E9">
      <w:pPr>
        <w:jc w:val="both"/>
      </w:pPr>
      <w:r w:rsidRPr="006A2DB8">
        <w:rPr>
          <w:u w:val="single"/>
        </w:rPr>
        <w:t>Numerator</w:t>
      </w:r>
      <w:r w:rsidRPr="006A2DB8">
        <w:t xml:space="preserve">: </w:t>
      </w:r>
      <w:r w:rsidR="00573E27">
        <w:t>N</w:t>
      </w:r>
      <w:r w:rsidRPr="006A2DB8">
        <w:t xml:space="preserve">umber of </w:t>
      </w:r>
      <w:r w:rsidR="00F23BF1">
        <w:t>children age 6-23 months where (Q1 = YES)</w:t>
      </w:r>
    </w:p>
    <w:p w14:paraId="4318076F" w14:textId="04A30E40" w:rsidR="006D6AB2" w:rsidRDefault="000C010E" w:rsidP="000423E9">
      <w:pPr>
        <w:jc w:val="both"/>
      </w:pPr>
      <w:r w:rsidRPr="006A2DB8">
        <w:rPr>
          <w:u w:val="single"/>
        </w:rPr>
        <w:t>Denominator</w:t>
      </w:r>
      <w:r w:rsidRPr="006A2DB8">
        <w:t xml:space="preserve">: </w:t>
      </w:r>
      <w:r w:rsidR="00F23BF1">
        <w:t>Total number of children age 6-23 months</w:t>
      </w:r>
    </w:p>
    <w:p w14:paraId="5602B859" w14:textId="70B1A169" w:rsidR="002B7360" w:rsidRDefault="002B7360" w:rsidP="00B55EF7">
      <w:pPr>
        <w:pStyle w:val="ListParagraph"/>
        <w:numPr>
          <w:ilvl w:val="0"/>
          <w:numId w:val="49"/>
        </w:numPr>
        <w:jc w:val="both"/>
      </w:pPr>
      <w:r w:rsidRPr="00B55EF7">
        <w:rPr>
          <w:b/>
        </w:rPr>
        <w:t xml:space="preserve">Mothers with children 6-23 months who received </w:t>
      </w:r>
      <w:r w:rsidRPr="00B55EF7">
        <w:rPr>
          <w:b/>
          <w:i/>
        </w:rPr>
        <w:t>age-appropriate</w:t>
      </w:r>
      <w:r w:rsidRPr="00B55EF7">
        <w:rPr>
          <w:b/>
        </w:rPr>
        <w:t xml:space="preserve"> IYCF counseling</w:t>
      </w:r>
    </w:p>
    <w:p w14:paraId="46C22966" w14:textId="2B76F9E1" w:rsidR="00F23BF1" w:rsidRPr="006A2DB8" w:rsidRDefault="00F23BF1" w:rsidP="000423E9">
      <w:pPr>
        <w:jc w:val="both"/>
      </w:pPr>
      <w:r w:rsidRPr="00F23BF1">
        <w:rPr>
          <w:u w:val="single"/>
        </w:rPr>
        <w:t>Numerator</w:t>
      </w:r>
      <w:r w:rsidRPr="006A2DB8">
        <w:t xml:space="preserve">: </w:t>
      </w:r>
      <w:r w:rsidR="00573E27">
        <w:t>N</w:t>
      </w:r>
      <w:r w:rsidRPr="006A2DB8">
        <w:t xml:space="preserve">umber of </w:t>
      </w:r>
      <w:r>
        <w:t>children age 6-</w:t>
      </w:r>
      <w:r w:rsidR="00573E27">
        <w:t>11</w:t>
      </w:r>
      <w:r>
        <w:t xml:space="preserve"> months where (Q1</w:t>
      </w:r>
      <w:r w:rsidR="00573E27">
        <w:t>a</w:t>
      </w:r>
      <w:r>
        <w:t xml:space="preserve"> = </w:t>
      </w:r>
      <w:r w:rsidR="00573E27">
        <w:t>1|2|3|4|5|6|7</w:t>
      </w:r>
      <w:r>
        <w:t>)</w:t>
      </w:r>
      <w:r w:rsidR="00573E27">
        <w:t xml:space="preserve"> + Number of children age 12-23 months where (Q1a = 1|4|5|6|7).</w:t>
      </w:r>
    </w:p>
    <w:p w14:paraId="24096AB0" w14:textId="5AC78927" w:rsidR="00383E4F" w:rsidRDefault="00F23BF1" w:rsidP="000423E9">
      <w:pPr>
        <w:jc w:val="both"/>
      </w:pPr>
      <w:r w:rsidRPr="00F23BF1">
        <w:rPr>
          <w:u w:val="single"/>
        </w:rPr>
        <w:t>Denominator</w:t>
      </w:r>
      <w:r w:rsidRPr="006A2DB8">
        <w:t xml:space="preserve">: </w:t>
      </w:r>
      <w:r>
        <w:t>Total number of children age 6-23 months</w:t>
      </w:r>
    </w:p>
    <w:p w14:paraId="2EF914E8" w14:textId="5ACE5100" w:rsidR="00E65833" w:rsidRDefault="00E65833" w:rsidP="000423E9">
      <w:pPr>
        <w:jc w:val="both"/>
      </w:pPr>
      <w:r w:rsidRPr="00E65833">
        <w:t>The</w:t>
      </w:r>
      <w:r>
        <w:t>se</w:t>
      </w:r>
      <w:r w:rsidRPr="00E65833">
        <w:t xml:space="preserve"> indicato</w:t>
      </w:r>
      <w:r>
        <w:t>rs</w:t>
      </w:r>
      <w:r w:rsidRPr="00E65833">
        <w:t xml:space="preserve"> may be further disaggregated by type of message/information received to determine which are most or least common and where there are gaps in appropriate messages/information being reached to mothers.</w:t>
      </w:r>
    </w:p>
    <w:p w14:paraId="71E0A619" w14:textId="1F6B2B32" w:rsidR="00D45347" w:rsidRPr="00B55EF7" w:rsidRDefault="00ED6D89" w:rsidP="00ED6D89">
      <w:pPr>
        <w:tabs>
          <w:tab w:val="left" w:pos="360"/>
        </w:tabs>
        <w:spacing w:after="0"/>
        <w:ind w:left="360" w:hanging="360"/>
        <w:rPr>
          <w:b/>
        </w:rPr>
      </w:pPr>
      <w:r w:rsidRPr="00B55EF7">
        <w:rPr>
          <w:b/>
        </w:rPr>
        <w:t xml:space="preserve">8. </w:t>
      </w:r>
      <w:r w:rsidRPr="00B55EF7">
        <w:rPr>
          <w:b/>
        </w:rPr>
        <w:tab/>
      </w:r>
      <w:r w:rsidR="00D45347" w:rsidRPr="00B55EF7">
        <w:rPr>
          <w:b/>
        </w:rPr>
        <w:t>Is th</w:t>
      </w:r>
      <w:r w:rsidR="00A50F80" w:rsidRPr="00B55EF7">
        <w:rPr>
          <w:b/>
        </w:rPr>
        <w:t>e</w:t>
      </w:r>
      <w:r w:rsidR="00D45347" w:rsidRPr="00B55EF7">
        <w:rPr>
          <w:b/>
        </w:rPr>
        <w:t xml:space="preserve"> indicator useful when measured at the national level, or is it useful only </w:t>
      </w:r>
      <w:r w:rsidR="00F1343B" w:rsidRPr="00B55EF7">
        <w:rPr>
          <w:b/>
        </w:rPr>
        <w:t xml:space="preserve">when disaggregated to </w:t>
      </w:r>
      <w:r w:rsidR="00D45347" w:rsidRPr="00B55EF7">
        <w:rPr>
          <w:b/>
        </w:rPr>
        <w:t xml:space="preserve">specific subnational areas, such as endemicity zones or project intervention regions? </w:t>
      </w:r>
    </w:p>
    <w:p w14:paraId="493156B5" w14:textId="77777777" w:rsidR="006D6AB2" w:rsidRPr="00B55EF7" w:rsidRDefault="006D6AB2" w:rsidP="00A50F80">
      <w:pPr>
        <w:spacing w:after="0"/>
        <w:ind w:left="360"/>
        <w:rPr>
          <w:b/>
          <w:i/>
        </w:rPr>
      </w:pPr>
    </w:p>
    <w:p w14:paraId="25061223" w14:textId="2B1AD469" w:rsidR="00C970EB" w:rsidRPr="00B55EF7" w:rsidRDefault="00A50F80" w:rsidP="00F304C7">
      <w:pPr>
        <w:spacing w:after="0"/>
        <w:ind w:left="360"/>
        <w:rPr>
          <w:b/>
          <w:i/>
        </w:rPr>
      </w:pPr>
      <w:r w:rsidRPr="00B55EF7">
        <w:rPr>
          <w:b/>
          <w:i/>
        </w:rPr>
        <w:t>For each indicator, select one of the three options</w:t>
      </w:r>
      <w:r w:rsidR="003B03C8" w:rsidRPr="00B55EF7">
        <w:rPr>
          <w:b/>
          <w:i/>
        </w:rPr>
        <w:t xml:space="preserve"> by clicking in the appropriate box</w:t>
      </w:r>
      <w:r w:rsidRPr="00B55EF7">
        <w:rPr>
          <w:b/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</w:t>
            </w:r>
            <w:r>
              <w:lastRenderedPageBreak/>
              <w:t xml:space="preserve">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lastRenderedPageBreak/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1B375A4C" w14:textId="3D087582" w:rsidR="00F304C7" w:rsidRDefault="00573E27" w:rsidP="00767A0A">
            <w:r w:rsidRPr="00573E27">
              <w:t>Mothers with children 6-23 months who received any IYCF counseling</w:t>
            </w:r>
          </w:p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3140DDC0" w:rsidR="00F304C7" w:rsidRDefault="000F1760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A7062FC" w14:textId="37AF4E0B" w:rsidR="003B03C8" w:rsidRDefault="00573E27" w:rsidP="003B03C8">
            <w:r w:rsidRPr="00573E27">
              <w:t>Mothers with children 6-23 months who received age-appropriate IYCF counseling</w:t>
            </w:r>
          </w:p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17D632D6" w:rsidR="003B03C8" w:rsidRDefault="000F1760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Pr="000423E9" w:rsidRDefault="00282253" w:rsidP="00D749DB">
      <w:pPr>
        <w:tabs>
          <w:tab w:val="left" w:pos="360"/>
        </w:tabs>
        <w:ind w:left="360" w:hanging="360"/>
        <w:rPr>
          <w:b/>
        </w:rPr>
      </w:pPr>
      <w:r w:rsidRPr="000423E9">
        <w:rPr>
          <w:b/>
        </w:rPr>
        <w:t>9</w:t>
      </w:r>
      <w:r w:rsidR="00D749DB" w:rsidRPr="000423E9">
        <w:rPr>
          <w:b/>
        </w:rPr>
        <w:t xml:space="preserve">. </w:t>
      </w:r>
      <w:r w:rsidR="00D749DB" w:rsidRPr="000423E9">
        <w:rPr>
          <w:b/>
        </w:rPr>
        <w:tab/>
      </w:r>
      <w:r w:rsidR="00D00F57" w:rsidRPr="000423E9">
        <w:rPr>
          <w:b/>
        </w:rPr>
        <w:t xml:space="preserve">Have the proposed questions undergone any formal validation; i.e., have the questions been tested against </w:t>
      </w:r>
      <w:r w:rsidR="00F1343B" w:rsidRPr="000423E9">
        <w:rPr>
          <w:b/>
        </w:rPr>
        <w:t xml:space="preserve">a </w:t>
      </w:r>
      <w:r w:rsidR="00D00F57" w:rsidRPr="000423E9">
        <w:rPr>
          <w:b/>
        </w:rPr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8445A48" w14:textId="4BE44DE0" w:rsidR="00D00F57" w:rsidRDefault="000423E9" w:rsidP="000423E9">
      <w:pPr>
        <w:jc w:val="both"/>
      </w:pPr>
      <w:r>
        <w:t>The proposed questions have n</w:t>
      </w:r>
      <w:r w:rsidR="00C22FBC" w:rsidRPr="000423E9">
        <w:t xml:space="preserve">ot </w:t>
      </w:r>
      <w:r>
        <w:t xml:space="preserve">been validated </w:t>
      </w:r>
      <w:r w:rsidR="00C22FBC" w:rsidRPr="000423E9">
        <w:t>yet</w:t>
      </w:r>
      <w:r w:rsidR="007B6624">
        <w:t>, however,</w:t>
      </w:r>
      <w:r w:rsidR="0012717B">
        <w:t xml:space="preserve"> </w:t>
      </w:r>
      <w:r w:rsidR="007B6624">
        <w:t>a</w:t>
      </w:r>
      <w:r w:rsidR="00C22FBC" w:rsidRPr="000423E9">
        <w:t xml:space="preserve"> </w:t>
      </w:r>
      <w:r w:rsidR="00C22FBC">
        <w:t xml:space="preserve">related </w:t>
      </w:r>
      <w:r w:rsidR="00C22FBC" w:rsidRPr="000423E9">
        <w:t>validation study is being planned under the IMPROVE</w:t>
      </w:r>
      <w:r w:rsidR="007B6624">
        <w:t>/</w:t>
      </w:r>
      <w:r w:rsidR="00C22FBC" w:rsidRPr="000423E9">
        <w:t xml:space="preserve">Coverage grant funded by the Bill &amp; Melinda Gates Foundation. </w:t>
      </w:r>
    </w:p>
    <w:p w14:paraId="21485925" w14:textId="4EFDF08B" w:rsidR="00D00F57" w:rsidRPr="000423E9" w:rsidRDefault="00D9355E" w:rsidP="00D9355E">
      <w:pPr>
        <w:tabs>
          <w:tab w:val="left" w:pos="360"/>
        </w:tabs>
        <w:ind w:left="360" w:hanging="360"/>
        <w:rPr>
          <w:b/>
        </w:rPr>
      </w:pPr>
      <w:r w:rsidRPr="000423E9">
        <w:rPr>
          <w:b/>
        </w:rPr>
        <w:t>10.</w:t>
      </w:r>
      <w:r w:rsidRPr="000423E9">
        <w:rPr>
          <w:b/>
        </w:rPr>
        <w:tab/>
      </w:r>
      <w:r w:rsidR="00D00F57" w:rsidRPr="000423E9">
        <w:rPr>
          <w:b/>
        </w:rPr>
        <w:t>Have the questions undergone any other kind of testing; e.g., cognit</w:t>
      </w:r>
      <w:r w:rsidR="00A50F80" w:rsidRPr="000423E9">
        <w:rPr>
          <w:b/>
        </w:rPr>
        <w:t>ive testing, pilot testing.</w:t>
      </w:r>
      <w:r w:rsidR="00D00F57" w:rsidRPr="000423E9">
        <w:rPr>
          <w:b/>
        </w:rPr>
        <w:t xml:space="preserve"> If so, please describe the results of the testing and/or provide a publication or report of the findings (or a link). </w:t>
      </w:r>
    </w:p>
    <w:p w14:paraId="70117556" w14:textId="576909CE" w:rsidR="00F268BE" w:rsidRDefault="00F268BE" w:rsidP="000423E9">
      <w:pPr>
        <w:jc w:val="both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Q1. </w:t>
      </w:r>
      <w:r w:rsidR="00116C40">
        <w:rPr>
          <w:rFonts w:ascii="Calibri" w:hAnsi="Calibri" w:cs="Times New Roman"/>
          <w:bCs/>
          <w:color w:val="000000"/>
        </w:rPr>
        <w:t>S</w:t>
      </w:r>
      <w:r w:rsidR="00116C40" w:rsidRPr="00D127B4">
        <w:rPr>
          <w:rFonts w:ascii="Calibri" w:hAnsi="Calibri" w:cs="Times New Roman"/>
          <w:color w:val="000000"/>
        </w:rPr>
        <w:t>everal</w:t>
      </w:r>
      <w:r w:rsidR="00116C40">
        <w:rPr>
          <w:rFonts w:ascii="Calibri" w:hAnsi="Calibri" w:cs="Times New Roman"/>
          <w:color w:val="000000"/>
        </w:rPr>
        <w:t xml:space="preserve"> initiatives</w:t>
      </w:r>
      <w:r w:rsidR="00116C40" w:rsidRPr="00D127B4">
        <w:rPr>
          <w:rFonts w:ascii="Calibri" w:hAnsi="Calibri" w:cs="Times New Roman"/>
          <w:color w:val="000000"/>
        </w:rPr>
        <w:t xml:space="preserve"> have asked th</w:t>
      </w:r>
      <w:r w:rsidR="00116C40">
        <w:rPr>
          <w:rFonts w:ascii="Calibri" w:hAnsi="Calibri" w:cs="Times New Roman"/>
          <w:color w:val="000000"/>
        </w:rPr>
        <w:t>ese</w:t>
      </w:r>
      <w:r w:rsidR="00116C40" w:rsidRPr="00D127B4">
        <w:rPr>
          <w:rFonts w:ascii="Calibri" w:hAnsi="Calibri" w:cs="Times New Roman"/>
          <w:color w:val="000000"/>
        </w:rPr>
        <w:t xml:space="preserve"> question</w:t>
      </w:r>
      <w:r w:rsidR="00116C40">
        <w:rPr>
          <w:rFonts w:ascii="Calibri" w:hAnsi="Calibri" w:cs="Times New Roman"/>
          <w:color w:val="000000"/>
        </w:rPr>
        <w:t>s</w:t>
      </w:r>
      <w:r w:rsidR="00116C40" w:rsidRPr="00D127B4">
        <w:rPr>
          <w:rFonts w:ascii="Calibri" w:hAnsi="Calibri" w:cs="Times New Roman"/>
          <w:color w:val="000000"/>
        </w:rPr>
        <w:t xml:space="preserve"> as part of their program evaluation </w:t>
      </w:r>
      <w:r w:rsidR="00116C40">
        <w:rPr>
          <w:rFonts w:ascii="Calibri" w:hAnsi="Calibri" w:cs="Times New Roman"/>
          <w:color w:val="000000"/>
        </w:rPr>
        <w:t xml:space="preserve">surveys (e.g. </w:t>
      </w:r>
      <w:hyperlink r:id="rId17" w:history="1">
        <w:r w:rsidR="00116C40" w:rsidRPr="001E1D7F">
          <w:rPr>
            <w:rStyle w:val="Hyperlink"/>
            <w:rFonts w:ascii="Calibri" w:hAnsi="Calibri" w:cs="Times New Roman"/>
          </w:rPr>
          <w:t>Alive &amp; Thrive</w:t>
        </w:r>
      </w:hyperlink>
      <w:r w:rsidR="00116C40">
        <w:rPr>
          <w:rFonts w:ascii="Calibri" w:hAnsi="Calibri" w:cs="Times New Roman"/>
          <w:color w:val="000000"/>
        </w:rPr>
        <w:t xml:space="preserve"> in three countries) or nationally-representative surveys </w:t>
      </w:r>
      <w:r w:rsidR="00116C40" w:rsidRPr="00D127B4">
        <w:rPr>
          <w:rFonts w:ascii="Calibri" w:hAnsi="Calibri" w:cs="Times New Roman"/>
          <w:color w:val="000000"/>
        </w:rPr>
        <w:t xml:space="preserve">(e.g. </w:t>
      </w:r>
      <w:hyperlink r:id="rId18" w:history="1">
        <w:r w:rsidR="00116C40" w:rsidRPr="001E1D7F">
          <w:rPr>
            <w:rStyle w:val="Hyperlink"/>
            <w:rFonts w:ascii="Calibri" w:hAnsi="Calibri" w:cs="Times New Roman"/>
          </w:rPr>
          <w:t>PMA2020</w:t>
        </w:r>
        <w:r w:rsidR="00116C40" w:rsidRPr="00613E2B">
          <w:rPr>
            <w:rStyle w:val="Hyperlink"/>
            <w:rFonts w:ascii="Calibri" w:hAnsi="Calibri" w:cs="Times New Roman"/>
            <w:color w:val="000000" w:themeColor="text1"/>
            <w:u w:val="none"/>
          </w:rPr>
          <w:t>)</w:t>
        </w:r>
      </w:hyperlink>
      <w:r w:rsidR="00116C40" w:rsidRPr="00D127B4">
        <w:rPr>
          <w:rFonts w:ascii="Calibri" w:hAnsi="Calibri" w:cs="Times New Roman"/>
          <w:color w:val="000000"/>
        </w:rPr>
        <w:t xml:space="preserve"> with minor variations in wording. </w:t>
      </w:r>
      <w:r w:rsidRPr="00D127B4">
        <w:rPr>
          <w:rFonts w:ascii="Calibri" w:hAnsi="Calibri" w:cs="Times New Roman"/>
          <w:bCs/>
          <w:color w:val="000000"/>
        </w:rPr>
        <w:t xml:space="preserve">We propose </w:t>
      </w:r>
      <w:r>
        <w:rPr>
          <w:rFonts w:ascii="Calibri" w:hAnsi="Calibri" w:cs="Times New Roman"/>
          <w:bCs/>
          <w:color w:val="000000"/>
        </w:rPr>
        <w:t>to use “talk with you” rather than</w:t>
      </w:r>
      <w:r w:rsidRPr="00D127B4">
        <w:rPr>
          <w:rFonts w:ascii="Calibri" w:hAnsi="Calibri" w:cs="Times New Roman"/>
          <w:bCs/>
          <w:color w:val="000000"/>
        </w:rPr>
        <w:t xml:space="preserve"> the term “counsel</w:t>
      </w:r>
      <w:r>
        <w:rPr>
          <w:rFonts w:ascii="Calibri" w:hAnsi="Calibri" w:cs="Times New Roman"/>
          <w:bCs/>
          <w:color w:val="000000"/>
        </w:rPr>
        <w:t>ing</w:t>
      </w:r>
      <w:r w:rsidRPr="00D127B4">
        <w:rPr>
          <w:rFonts w:ascii="Calibri" w:hAnsi="Calibri" w:cs="Times New Roman"/>
          <w:bCs/>
          <w:color w:val="000000"/>
        </w:rPr>
        <w:t xml:space="preserve">”, </w:t>
      </w:r>
      <w:r>
        <w:rPr>
          <w:rFonts w:ascii="Calibri" w:hAnsi="Calibri" w:cs="Times New Roman"/>
          <w:bCs/>
          <w:color w:val="000000"/>
        </w:rPr>
        <w:t>as counseling</w:t>
      </w:r>
      <w:r w:rsidRPr="00D127B4">
        <w:rPr>
          <w:rFonts w:ascii="Calibri" w:hAnsi="Calibri" w:cs="Times New Roman"/>
          <w:bCs/>
          <w:color w:val="000000"/>
        </w:rPr>
        <w:t xml:space="preserve"> could be interpreted and understood in different ways</w:t>
      </w:r>
      <w:r>
        <w:rPr>
          <w:rFonts w:ascii="Calibri" w:hAnsi="Calibri" w:cs="Times New Roman"/>
          <w:bCs/>
          <w:color w:val="000000"/>
        </w:rPr>
        <w:t xml:space="preserve">. </w:t>
      </w:r>
      <w:r w:rsidRPr="00D127B4">
        <w:rPr>
          <w:rFonts w:ascii="Calibri" w:hAnsi="Calibri" w:cs="Times New Roman"/>
          <w:bCs/>
          <w:color w:val="000000"/>
        </w:rPr>
        <w:t>Moreover, what is most important is to capture the interaction between the women and the person providing information</w:t>
      </w:r>
      <w:r>
        <w:rPr>
          <w:rFonts w:ascii="Calibri" w:hAnsi="Calibri" w:cs="Times New Roman"/>
          <w:bCs/>
          <w:color w:val="000000"/>
        </w:rPr>
        <w:t xml:space="preserve"> and support</w:t>
      </w:r>
      <w:r w:rsidRPr="00D127B4">
        <w:rPr>
          <w:rFonts w:ascii="Calibri" w:hAnsi="Calibri" w:cs="Times New Roman"/>
          <w:bCs/>
          <w:color w:val="000000"/>
        </w:rPr>
        <w:t>, and women do not always distinguish formal counseling from informal message sharing</w:t>
      </w:r>
      <w:r>
        <w:rPr>
          <w:rFonts w:ascii="Calibri" w:hAnsi="Calibri" w:cs="Times New Roman"/>
          <w:bCs/>
          <w:color w:val="000000"/>
        </w:rPr>
        <w:t xml:space="preserve">. </w:t>
      </w:r>
      <w:r w:rsidRPr="00D127B4">
        <w:rPr>
          <w:rFonts w:ascii="Calibri" w:hAnsi="Calibri" w:cs="Times New Roman"/>
          <w:bCs/>
          <w:color w:val="000000"/>
        </w:rPr>
        <w:t xml:space="preserve">The proposed terminology will allow the DHS to capture all forms of interpersonal communication around </w:t>
      </w:r>
      <w:r>
        <w:rPr>
          <w:rFonts w:ascii="Calibri" w:hAnsi="Calibri" w:cs="Times New Roman"/>
          <w:bCs/>
          <w:color w:val="000000"/>
        </w:rPr>
        <w:t xml:space="preserve">IYCF. </w:t>
      </w:r>
    </w:p>
    <w:p w14:paraId="68CF4665" w14:textId="32F91196" w:rsidR="00F268BE" w:rsidRDefault="00F268BE" w:rsidP="000423E9">
      <w:pPr>
        <w:jc w:val="both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Q1a. </w:t>
      </w:r>
      <w:r w:rsidR="00116C40">
        <w:rPr>
          <w:rFonts w:ascii="Calibri" w:hAnsi="Calibri" w:cs="Times New Roman"/>
          <w:bCs/>
          <w:color w:val="000000"/>
        </w:rPr>
        <w:t>S</w:t>
      </w:r>
      <w:r w:rsidR="00116C40" w:rsidRPr="00D127B4">
        <w:rPr>
          <w:rFonts w:ascii="Calibri" w:hAnsi="Calibri" w:cs="Times New Roman"/>
          <w:color w:val="000000"/>
        </w:rPr>
        <w:t>everal</w:t>
      </w:r>
      <w:r w:rsidR="00116C40">
        <w:rPr>
          <w:rFonts w:ascii="Calibri" w:hAnsi="Calibri" w:cs="Times New Roman"/>
          <w:color w:val="000000"/>
        </w:rPr>
        <w:t xml:space="preserve"> initiatives</w:t>
      </w:r>
      <w:r w:rsidR="00116C40" w:rsidRPr="00D127B4">
        <w:rPr>
          <w:rFonts w:ascii="Calibri" w:hAnsi="Calibri" w:cs="Times New Roman"/>
          <w:color w:val="000000"/>
        </w:rPr>
        <w:t xml:space="preserve"> have asked th</w:t>
      </w:r>
      <w:r w:rsidR="00116C40">
        <w:rPr>
          <w:rFonts w:ascii="Calibri" w:hAnsi="Calibri" w:cs="Times New Roman"/>
          <w:color w:val="000000"/>
        </w:rPr>
        <w:t>ese</w:t>
      </w:r>
      <w:r w:rsidR="00116C40" w:rsidRPr="00D127B4">
        <w:rPr>
          <w:rFonts w:ascii="Calibri" w:hAnsi="Calibri" w:cs="Times New Roman"/>
          <w:color w:val="000000"/>
        </w:rPr>
        <w:t xml:space="preserve"> question</w:t>
      </w:r>
      <w:r w:rsidR="00116C40">
        <w:rPr>
          <w:rFonts w:ascii="Calibri" w:hAnsi="Calibri" w:cs="Times New Roman"/>
          <w:color w:val="000000"/>
        </w:rPr>
        <w:t>s</w:t>
      </w:r>
      <w:r w:rsidR="00116C40" w:rsidRPr="00D127B4">
        <w:rPr>
          <w:rFonts w:ascii="Calibri" w:hAnsi="Calibri" w:cs="Times New Roman"/>
          <w:color w:val="000000"/>
        </w:rPr>
        <w:t xml:space="preserve"> as part of their program evaluation </w:t>
      </w:r>
      <w:r w:rsidR="00116C40">
        <w:rPr>
          <w:rFonts w:ascii="Calibri" w:hAnsi="Calibri" w:cs="Times New Roman"/>
          <w:color w:val="000000"/>
        </w:rPr>
        <w:t xml:space="preserve">surveys (e.g. </w:t>
      </w:r>
      <w:hyperlink r:id="rId19" w:history="1">
        <w:r w:rsidR="00116C40" w:rsidRPr="001E1D7F">
          <w:rPr>
            <w:rStyle w:val="Hyperlink"/>
            <w:rFonts w:ascii="Calibri" w:hAnsi="Calibri" w:cs="Times New Roman"/>
          </w:rPr>
          <w:t>Alive &amp; Thrive</w:t>
        </w:r>
      </w:hyperlink>
      <w:r w:rsidR="00116C40">
        <w:rPr>
          <w:rFonts w:ascii="Calibri" w:hAnsi="Calibri" w:cs="Times New Roman"/>
          <w:color w:val="000000"/>
        </w:rPr>
        <w:t xml:space="preserve"> in three countries) or nationally-representative surveys </w:t>
      </w:r>
      <w:r w:rsidR="00116C40" w:rsidRPr="00D127B4">
        <w:rPr>
          <w:rFonts w:ascii="Calibri" w:hAnsi="Calibri" w:cs="Times New Roman"/>
          <w:color w:val="000000"/>
        </w:rPr>
        <w:t xml:space="preserve">(e.g. </w:t>
      </w:r>
      <w:hyperlink r:id="rId20" w:history="1">
        <w:r w:rsidR="00116C40" w:rsidRPr="001E1D7F">
          <w:rPr>
            <w:rStyle w:val="Hyperlink"/>
            <w:rFonts w:ascii="Calibri" w:hAnsi="Calibri" w:cs="Times New Roman"/>
          </w:rPr>
          <w:t>PMA2020</w:t>
        </w:r>
        <w:r w:rsidR="00116C40" w:rsidRPr="00613E2B">
          <w:rPr>
            <w:rStyle w:val="Hyperlink"/>
            <w:rFonts w:ascii="Calibri" w:hAnsi="Calibri" w:cs="Times New Roman"/>
            <w:color w:val="000000" w:themeColor="text1"/>
            <w:u w:val="none"/>
          </w:rPr>
          <w:t>)</w:t>
        </w:r>
      </w:hyperlink>
      <w:r w:rsidR="00116C40" w:rsidRPr="00D127B4">
        <w:rPr>
          <w:rFonts w:ascii="Calibri" w:hAnsi="Calibri" w:cs="Times New Roman"/>
          <w:color w:val="000000"/>
        </w:rPr>
        <w:t xml:space="preserve"> with minor variations in wording. </w:t>
      </w:r>
      <w:r>
        <w:rPr>
          <w:rFonts w:ascii="Calibri" w:hAnsi="Calibri" w:cs="Times New Roman"/>
          <w:color w:val="000000"/>
        </w:rPr>
        <w:t>This question is open-ended, and we recommend that response options be kept to minimum (focused on globally recommended core IYCF practices), preferably 7 or less options as is the general number of items held in short-term memory</w:t>
      </w:r>
      <w:r>
        <w:rPr>
          <w:rFonts w:ascii="Calibri" w:hAnsi="Calibri" w:cs="Times New Roman"/>
          <w:bCs/>
          <w:color w:val="000000"/>
        </w:rPr>
        <w:t>; this will help facilitate survey enumerators to understand a limited number of concepts during training and aid them in holding response options in short-term memory during data collection.</w:t>
      </w:r>
      <w:r>
        <w:rPr>
          <w:rStyle w:val="FootnoteReference"/>
          <w:rFonts w:ascii="Calibri" w:hAnsi="Calibri" w:cs="Times New Roman"/>
          <w:bCs/>
          <w:color w:val="000000"/>
        </w:rPr>
        <w:footnoteReference w:id="10"/>
      </w:r>
    </w:p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lastRenderedPageBreak/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Pr="000423E9" w:rsidRDefault="00D9355E" w:rsidP="00D9355E">
      <w:pPr>
        <w:pStyle w:val="NoSpacing"/>
        <w:tabs>
          <w:tab w:val="left" w:pos="360"/>
        </w:tabs>
        <w:ind w:left="360" w:hanging="360"/>
        <w:rPr>
          <w:b/>
        </w:rPr>
      </w:pPr>
      <w:r w:rsidRPr="000423E9">
        <w:rPr>
          <w:b/>
        </w:rPr>
        <w:t>11.</w:t>
      </w:r>
      <w:r w:rsidRPr="000423E9">
        <w:rPr>
          <w:b/>
        </w:rPr>
        <w:tab/>
      </w:r>
      <w:r w:rsidR="00264A83" w:rsidRPr="000423E9">
        <w:rPr>
          <w:b/>
        </w:rPr>
        <w:t>Please provide information relevant to the ki</w:t>
      </w:r>
      <w:r w:rsidR="00C420DE" w:rsidRPr="000423E9">
        <w:rPr>
          <w:b/>
        </w:rPr>
        <w:t>n</w:t>
      </w:r>
      <w:r w:rsidR="00264A83" w:rsidRPr="000423E9">
        <w:rPr>
          <w:b/>
        </w:rPr>
        <w:t>ds of questions below,</w:t>
      </w:r>
      <w:r w:rsidR="008A5148" w:rsidRPr="000423E9">
        <w:rPr>
          <w:b/>
        </w:rPr>
        <w:t xml:space="preserve"> 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Pr="000423E9" w:rsidRDefault="00D15788" w:rsidP="00D45347">
      <w:pPr>
        <w:pStyle w:val="ListParagraph"/>
        <w:numPr>
          <w:ilvl w:val="0"/>
          <w:numId w:val="20"/>
        </w:numPr>
        <w:spacing w:after="0"/>
        <w:ind w:left="360"/>
        <w:rPr>
          <w:b/>
        </w:rPr>
      </w:pPr>
      <w:r w:rsidRPr="000423E9">
        <w:rPr>
          <w:b/>
        </w:rPr>
        <w:t>Describe how the d</w:t>
      </w:r>
      <w:r w:rsidR="00006877" w:rsidRPr="000423E9">
        <w:rPr>
          <w:b/>
        </w:rPr>
        <w:t xml:space="preserve">ata for this indicator </w:t>
      </w:r>
      <w:r w:rsidR="009854DE" w:rsidRPr="000423E9">
        <w:rPr>
          <w:b/>
        </w:rPr>
        <w:t xml:space="preserve">are </w:t>
      </w:r>
      <w:r w:rsidR="00006877" w:rsidRPr="000423E9">
        <w:rPr>
          <w:b/>
        </w:rPr>
        <w:t xml:space="preserve">being </w:t>
      </w:r>
      <w:r w:rsidR="00B96B5C" w:rsidRPr="000423E9">
        <w:rPr>
          <w:b/>
        </w:rPr>
        <w:t>used (</w:t>
      </w:r>
      <w:r w:rsidR="00006877" w:rsidRPr="000423E9">
        <w:rPr>
          <w:b/>
        </w:rPr>
        <w:t xml:space="preserve">or </w:t>
      </w:r>
      <w:r w:rsidRPr="000423E9">
        <w:rPr>
          <w:b/>
        </w:rPr>
        <w:t>will be used</w:t>
      </w:r>
      <w:r w:rsidR="00B96B5C" w:rsidRPr="000423E9">
        <w:rPr>
          <w:b/>
        </w:rPr>
        <w:t>)</w:t>
      </w:r>
      <w:r w:rsidRPr="000423E9">
        <w:rPr>
          <w:b/>
        </w:rPr>
        <w:t xml:space="preserve">. </w:t>
      </w:r>
    </w:p>
    <w:p w14:paraId="02F06613" w14:textId="7F9D7FBA" w:rsidR="00D45347" w:rsidRPr="000423E9" w:rsidRDefault="00D15788" w:rsidP="00D45347">
      <w:pPr>
        <w:pStyle w:val="ListParagraph"/>
        <w:numPr>
          <w:ilvl w:val="1"/>
          <w:numId w:val="16"/>
        </w:numPr>
        <w:spacing w:after="0"/>
        <w:ind w:left="720"/>
        <w:rPr>
          <w:b/>
        </w:rPr>
      </w:pPr>
      <w:r w:rsidRPr="000423E9">
        <w:rPr>
          <w:b/>
        </w:rPr>
        <w:t>Are the data produced by this indicator actionable?</w:t>
      </w:r>
    </w:p>
    <w:p w14:paraId="311AE67C" w14:textId="0D98E09F" w:rsidR="00FC2318" w:rsidRPr="000938EF" w:rsidRDefault="00F268BE" w:rsidP="000423E9">
      <w:pPr>
        <w:spacing w:line="276" w:lineRule="auto"/>
        <w:jc w:val="both"/>
        <w:rPr>
          <w:rFonts w:ascii="Calibri" w:hAnsi="Calibri" w:cs="Times New Roman"/>
          <w:color w:val="000000"/>
        </w:rPr>
      </w:pPr>
      <w:r>
        <w:t xml:space="preserve">Both indicators </w:t>
      </w:r>
      <w:r w:rsidR="00355F9D">
        <w:t xml:space="preserve">are </w:t>
      </w:r>
      <w:proofErr w:type="gramStart"/>
      <w:r w:rsidR="00355F9D">
        <w:t>actionable</w:t>
      </w:r>
      <w:r w:rsidR="00AC469E">
        <w:t>,</w:t>
      </w:r>
      <w:r w:rsidR="00355F9D">
        <w:t xml:space="preserve"> and</w:t>
      </w:r>
      <w:proofErr w:type="gramEnd"/>
      <w:r w:rsidR="00355F9D">
        <w:t xml:space="preserve"> provide decision-makers and program implementer</w:t>
      </w:r>
      <w:r>
        <w:t xml:space="preserve"> with needed information on IYCF counseling</w:t>
      </w:r>
      <w:r w:rsidR="00116C40">
        <w:t xml:space="preserve"> coverage</w:t>
      </w:r>
      <w:r>
        <w:t>.</w:t>
      </w:r>
      <w:r w:rsidR="008C769E">
        <w:t xml:space="preserve"> Data </w:t>
      </w:r>
      <w:r w:rsidR="005D7B40">
        <w:t>are</w:t>
      </w:r>
      <w:r w:rsidR="008C769E">
        <w:t xml:space="preserve"> directly tied to the WHO-UNICEF IYCF guidelines that promote complementary feeding to caregivers of children 6-23 months.</w:t>
      </w:r>
    </w:p>
    <w:p w14:paraId="27C19BA7" w14:textId="77777777" w:rsidR="00355F9D" w:rsidRDefault="00355F9D" w:rsidP="00355F9D">
      <w:pPr>
        <w:spacing w:after="0"/>
      </w:pPr>
    </w:p>
    <w:p w14:paraId="230D279D" w14:textId="3E449EFB" w:rsidR="00D45347" w:rsidRPr="000C032C" w:rsidRDefault="00D15788" w:rsidP="00D45347">
      <w:pPr>
        <w:pStyle w:val="ListParagraph"/>
        <w:numPr>
          <w:ilvl w:val="1"/>
          <w:numId w:val="16"/>
        </w:numPr>
        <w:spacing w:after="0"/>
        <w:ind w:left="720"/>
        <w:rPr>
          <w:b/>
        </w:rPr>
      </w:pPr>
      <w:r w:rsidRPr="000C032C">
        <w:rPr>
          <w:b/>
        </w:rPr>
        <w:t xml:space="preserve">Who will use the data? </w:t>
      </w:r>
    </w:p>
    <w:p w14:paraId="4DA690BA" w14:textId="0CB80B5E" w:rsidR="007F5D55" w:rsidRDefault="00C22FBC" w:rsidP="000423E9">
      <w:pPr>
        <w:spacing w:after="0"/>
        <w:jc w:val="both"/>
      </w:pPr>
      <w:bookmarkStart w:id="5" w:name="_Hlk535510759"/>
      <w:r>
        <w:t>Country-level decision-makers and program implementers</w:t>
      </w:r>
      <w:r w:rsidR="005D7B40">
        <w:t>,</w:t>
      </w:r>
      <w:r>
        <w:t xml:space="preserve"> including ministries and other government bodies, bilateral organizations (e.g. UN), other non-governmental organizations and funding agencies/donors</w:t>
      </w:r>
      <w:r w:rsidR="007F5D55">
        <w:t>,</w:t>
      </w:r>
      <w:r>
        <w:t xml:space="preserve"> </w:t>
      </w:r>
      <w:r w:rsidR="007F5D55">
        <w:t>g</w:t>
      </w:r>
      <w:r w:rsidR="0017005C">
        <w:t>lobal accountability an</w:t>
      </w:r>
      <w:r w:rsidR="00116C40">
        <w:t>d</w:t>
      </w:r>
      <w:r w:rsidR="0017005C">
        <w:t xml:space="preserve"> advocacy initiatives (e.g. Global Nutrition Report) </w:t>
      </w:r>
    </w:p>
    <w:p w14:paraId="63BFBAF6" w14:textId="77777777" w:rsidR="007F5D55" w:rsidRDefault="007F5D55" w:rsidP="000423E9">
      <w:pPr>
        <w:spacing w:after="0"/>
        <w:jc w:val="both"/>
      </w:pPr>
    </w:p>
    <w:p w14:paraId="5C5D6107" w14:textId="0A0B04B1" w:rsidR="00C22FBC" w:rsidRDefault="00C22FBC" w:rsidP="000423E9">
      <w:pPr>
        <w:spacing w:after="0"/>
        <w:jc w:val="both"/>
      </w:pPr>
      <w:r>
        <w:t>National and international research institutes and universities may also use data for a wider set of research and technical support purposes.</w:t>
      </w:r>
    </w:p>
    <w:bookmarkEnd w:id="5"/>
    <w:p w14:paraId="71077534" w14:textId="77777777" w:rsidR="006B7BC4" w:rsidRDefault="006B7BC4" w:rsidP="006B7BC4">
      <w:pPr>
        <w:spacing w:after="0"/>
      </w:pPr>
    </w:p>
    <w:p w14:paraId="4C61AB10" w14:textId="11B585C4" w:rsidR="00355F9D" w:rsidRPr="00205E95" w:rsidRDefault="00D15788" w:rsidP="000F1760">
      <w:pPr>
        <w:pStyle w:val="ListParagraph"/>
        <w:numPr>
          <w:ilvl w:val="1"/>
          <w:numId w:val="16"/>
        </w:numPr>
        <w:spacing w:after="0"/>
        <w:ind w:left="720"/>
        <w:rPr>
          <w:b/>
        </w:rPr>
      </w:pPr>
      <w:r w:rsidRPr="00205E95">
        <w:rPr>
          <w:b/>
        </w:rPr>
        <w:t>What kinds of decisions will be made using these data?</w:t>
      </w:r>
    </w:p>
    <w:p w14:paraId="23E65F71" w14:textId="10FA5C3C" w:rsidR="000F1760" w:rsidRDefault="0017005C" w:rsidP="000C032C">
      <w:pPr>
        <w:spacing w:after="0"/>
        <w:jc w:val="both"/>
      </w:pPr>
      <w:r>
        <w:t>Data</w:t>
      </w:r>
      <w:r w:rsidR="00FC2318">
        <w:rPr>
          <w:rFonts w:ascii="Calibri" w:hAnsi="Calibri" w:cs="Times New Roman"/>
          <w:color w:val="000000"/>
        </w:rPr>
        <w:t xml:space="preserve"> will help inform policy </w:t>
      </w:r>
      <w:r>
        <w:rPr>
          <w:rFonts w:ascii="Calibri" w:hAnsi="Calibri" w:cs="Times New Roman"/>
          <w:color w:val="000000"/>
        </w:rPr>
        <w:t>and program development</w:t>
      </w:r>
      <w:r w:rsidR="00AC469E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</w:t>
      </w:r>
      <w:r w:rsidR="00FC2318">
        <w:rPr>
          <w:rFonts w:ascii="Calibri" w:hAnsi="Calibri" w:cs="Times New Roman"/>
          <w:color w:val="000000"/>
        </w:rPr>
        <w:t xml:space="preserve">and appropriate funding allocations </w:t>
      </w:r>
      <w:r>
        <w:rPr>
          <w:rFonts w:ascii="Calibri" w:hAnsi="Calibri" w:cs="Times New Roman"/>
          <w:color w:val="000000"/>
        </w:rPr>
        <w:t>across different interventions, subnational areas</w:t>
      </w:r>
      <w:r w:rsidR="00AC469E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and vulnerable groups (e.g. poor, rural) </w:t>
      </w:r>
      <w:r w:rsidR="00FC2318">
        <w:rPr>
          <w:rFonts w:ascii="Calibri" w:hAnsi="Calibri" w:cs="Times New Roman"/>
          <w:color w:val="000000"/>
        </w:rPr>
        <w:t xml:space="preserve">to promote and support adequate IYCF throughout the first two years of life. </w:t>
      </w:r>
      <w:r>
        <w:rPr>
          <w:rFonts w:ascii="Calibri" w:hAnsi="Calibri" w:cs="Times New Roman"/>
          <w:color w:val="000000"/>
        </w:rPr>
        <w:t>They will also support policy and program monitoring efforts and decisions about whether to refine or extend efforts.</w:t>
      </w:r>
    </w:p>
    <w:p w14:paraId="710A6D8F" w14:textId="77777777" w:rsidR="006B7BC4" w:rsidRDefault="006B7BC4" w:rsidP="000F1760">
      <w:pPr>
        <w:spacing w:after="0"/>
      </w:pPr>
    </w:p>
    <w:p w14:paraId="684A5003" w14:textId="7523BCA7" w:rsidR="000F1760" w:rsidRPr="000C032C" w:rsidRDefault="00B71A43" w:rsidP="000F1760">
      <w:pPr>
        <w:pStyle w:val="ListParagraph"/>
        <w:numPr>
          <w:ilvl w:val="0"/>
          <w:numId w:val="16"/>
        </w:numPr>
        <w:spacing w:after="0"/>
        <w:ind w:left="360"/>
        <w:rPr>
          <w:b/>
        </w:rPr>
      </w:pPr>
      <w:r w:rsidRPr="000C032C">
        <w:rPr>
          <w:b/>
        </w:rPr>
        <w:t>For what kinds of countries would the indicator(s) be most useful?</w:t>
      </w:r>
    </w:p>
    <w:p w14:paraId="066835D6" w14:textId="2B994AB4" w:rsidR="00F268BE" w:rsidRPr="000938EF" w:rsidRDefault="00F268BE" w:rsidP="000C032C">
      <w:pPr>
        <w:spacing w:line="276" w:lineRule="auto"/>
        <w:jc w:val="both"/>
        <w:rPr>
          <w:rFonts w:ascii="Calibri" w:hAnsi="Calibri" w:cs="Times New Roman"/>
          <w:color w:val="000000"/>
        </w:rPr>
      </w:pPr>
      <w:r w:rsidRPr="000938EF">
        <w:rPr>
          <w:rFonts w:ascii="Calibri" w:hAnsi="Calibri" w:cs="Times New Roman"/>
          <w:color w:val="000000"/>
        </w:rPr>
        <w:t>Since the proposed questions and indicators are linked to WHO recommendations</w:t>
      </w:r>
      <w:r w:rsidR="0017005C">
        <w:rPr>
          <w:rFonts w:ascii="Calibri" w:hAnsi="Calibri" w:cs="Times New Roman"/>
          <w:color w:val="000000"/>
        </w:rPr>
        <w:t xml:space="preserve"> for all Member States</w:t>
      </w:r>
      <w:r w:rsidRPr="000938EF">
        <w:rPr>
          <w:rFonts w:ascii="Calibri" w:hAnsi="Calibri" w:cs="Times New Roman"/>
          <w:color w:val="000000"/>
        </w:rPr>
        <w:t>, we suggest this be collected in all countries to monitor progress globally.</w:t>
      </w:r>
    </w:p>
    <w:p w14:paraId="7F11571E" w14:textId="77777777" w:rsidR="000F1760" w:rsidRDefault="000F1760" w:rsidP="000F1760">
      <w:pPr>
        <w:spacing w:after="0"/>
      </w:pPr>
    </w:p>
    <w:p w14:paraId="77FD0806" w14:textId="5D1F1BE7" w:rsidR="00A67ECE" w:rsidRPr="000C032C" w:rsidRDefault="00A67ECE" w:rsidP="00D45347">
      <w:pPr>
        <w:pStyle w:val="ListParagraph"/>
        <w:numPr>
          <w:ilvl w:val="0"/>
          <w:numId w:val="20"/>
        </w:numPr>
        <w:spacing w:after="0"/>
        <w:ind w:left="360"/>
        <w:rPr>
          <w:b/>
        </w:rPr>
      </w:pPr>
      <w:r w:rsidRPr="000C032C">
        <w:rPr>
          <w:b/>
        </w:rPr>
        <w:t xml:space="preserve">Does the DHS survey offer any </w:t>
      </w:r>
      <w:proofErr w:type="gramStart"/>
      <w:r w:rsidRPr="000C032C">
        <w:rPr>
          <w:b/>
        </w:rPr>
        <w:t>particular advantage</w:t>
      </w:r>
      <w:proofErr w:type="gramEnd"/>
      <w:r w:rsidRPr="000C032C">
        <w:rPr>
          <w:b/>
        </w:rPr>
        <w:t xml:space="preserve"> over other available data sources for </w:t>
      </w:r>
      <w:r w:rsidR="00950074" w:rsidRPr="000C032C">
        <w:rPr>
          <w:b/>
        </w:rPr>
        <w:t xml:space="preserve">measuring </w:t>
      </w:r>
      <w:r w:rsidRPr="000C032C">
        <w:rPr>
          <w:b/>
        </w:rPr>
        <w:t>this indicator?</w:t>
      </w:r>
      <w:r w:rsidR="008D519B" w:rsidRPr="000C032C">
        <w:rPr>
          <w:b/>
        </w:rPr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6BC04A65" w:rsidR="00FC2ECE" w:rsidRPr="00D91BB0" w:rsidRDefault="008C769E" w:rsidP="00D91BB0">
      <w:pPr>
        <w:jc w:val="both"/>
        <w:rPr>
          <w:rFonts w:cstheme="minorHAnsi"/>
        </w:rPr>
      </w:pPr>
      <w:bookmarkStart w:id="6" w:name="_Hlk535511202"/>
      <w:r w:rsidRPr="000C032C">
        <w:t xml:space="preserve">Because </w:t>
      </w:r>
      <w:r w:rsidR="00AC469E">
        <w:t xml:space="preserve">the </w:t>
      </w:r>
      <w:r w:rsidRPr="000C032C">
        <w:t xml:space="preserve">DHS is conducted in over 90 countries, </w:t>
      </w:r>
      <w:r w:rsidR="00DD3365" w:rsidRPr="000C032C">
        <w:t xml:space="preserve">adding questions on whether mothers with children 6-23 months received IYCF counseling would provide appropriate country and regional estimates to monitor progress towards </w:t>
      </w:r>
      <w:r w:rsidR="00FF1FEB" w:rsidRPr="000C032C">
        <w:t xml:space="preserve">implementing </w:t>
      </w:r>
      <w:r w:rsidR="00DD3365" w:rsidRPr="000C032C">
        <w:t>the WHO-UNICEF IYCF guidelines</w:t>
      </w:r>
      <w:r w:rsidR="00FF1FEB" w:rsidRPr="000C032C">
        <w:t xml:space="preserve"> that many countries have already adopted</w:t>
      </w:r>
      <w:r w:rsidR="00DD3365" w:rsidRPr="000C032C">
        <w:t xml:space="preserve">. </w:t>
      </w:r>
      <w:r w:rsidR="000C3327">
        <w:t xml:space="preserve">Adding the proposed two indicators on IYCF counseling would complement the existing core practice indicators in DHS, </w:t>
      </w:r>
      <w:r w:rsidR="00DD3365" w:rsidRPr="000C032C">
        <w:rPr>
          <w:rFonts w:cstheme="minorHAnsi"/>
        </w:rPr>
        <w:t>which would permit additional analyses relevant to countries</w:t>
      </w:r>
      <w:r w:rsidR="00FF1FEB" w:rsidRPr="000C032C">
        <w:rPr>
          <w:rFonts w:cstheme="minorHAnsi"/>
        </w:rPr>
        <w:t xml:space="preserve">, regions and </w:t>
      </w:r>
      <w:r w:rsidR="00FF1FEB" w:rsidRPr="000C032C">
        <w:rPr>
          <w:rFonts w:cstheme="minorHAnsi"/>
        </w:rPr>
        <w:lastRenderedPageBreak/>
        <w:t>global audiences</w:t>
      </w:r>
      <w:r w:rsidR="00DD3365" w:rsidRPr="000C032C">
        <w:rPr>
          <w:rFonts w:cstheme="minorHAnsi"/>
        </w:rPr>
        <w:t xml:space="preserve">. </w:t>
      </w:r>
      <w:r w:rsidR="00AC469E">
        <w:rPr>
          <w:rFonts w:cstheme="minorHAnsi"/>
        </w:rPr>
        <w:t xml:space="preserve">The </w:t>
      </w:r>
      <w:r w:rsidRPr="000C032C">
        <w:t xml:space="preserve">DHS is also the most commonly reported </w:t>
      </w:r>
      <w:r w:rsidR="00FF1FEB" w:rsidRPr="000C032C">
        <w:t xml:space="preserve">nutrition </w:t>
      </w:r>
      <w:r w:rsidRPr="000C032C">
        <w:t>data source used</w:t>
      </w:r>
      <w:r w:rsidR="0012717B">
        <w:t>,</w:t>
      </w:r>
      <w:r w:rsidRPr="000C032C">
        <w:rPr>
          <w:rStyle w:val="FootnoteReference"/>
        </w:rPr>
        <w:footnoteReference w:id="11"/>
      </w:r>
      <w:bookmarkEnd w:id="6"/>
      <w:r w:rsidRPr="000C032C">
        <w:t xml:space="preserve"> and including </w:t>
      </w:r>
      <w:r w:rsidR="00DD3365" w:rsidRPr="000C032C">
        <w:t xml:space="preserve">IYCF counseling </w:t>
      </w:r>
      <w:r w:rsidRPr="000C032C">
        <w:t xml:space="preserve">in </w:t>
      </w:r>
      <w:r w:rsidR="00AC469E">
        <w:t xml:space="preserve">the </w:t>
      </w:r>
      <w:r w:rsidRPr="000C032C">
        <w:t>DHS would allow these estimates to be used by a broad group of stakeholders</w:t>
      </w:r>
      <w:r w:rsidRPr="00615877">
        <w:t>.</w:t>
      </w:r>
    </w:p>
    <w:sectPr w:rsidR="00FC2ECE" w:rsidRPr="00D91BB0" w:rsidSect="00034FA5">
      <w:footerReference w:type="default" r:id="rId21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6971" w14:textId="77777777" w:rsidR="00B438FC" w:rsidRDefault="00B438FC" w:rsidP="00034FA5">
      <w:pPr>
        <w:spacing w:after="0" w:line="240" w:lineRule="auto"/>
      </w:pPr>
      <w:r>
        <w:separator/>
      </w:r>
    </w:p>
  </w:endnote>
  <w:endnote w:type="continuationSeparator" w:id="0">
    <w:p w14:paraId="37CDE60A" w14:textId="77777777" w:rsidR="00B438FC" w:rsidRDefault="00B438FC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1C5A51" w:rsidRDefault="001C5A51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09E4961" w14:textId="223D8C85" w:rsidR="001C5A51" w:rsidRDefault="001C5A51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B4AB" w14:textId="77777777" w:rsidR="00B438FC" w:rsidRDefault="00B438FC" w:rsidP="00034FA5">
      <w:pPr>
        <w:spacing w:after="0" w:line="240" w:lineRule="auto"/>
      </w:pPr>
      <w:r>
        <w:separator/>
      </w:r>
    </w:p>
  </w:footnote>
  <w:footnote w:type="continuationSeparator" w:id="0">
    <w:p w14:paraId="1D593438" w14:textId="77777777" w:rsidR="00B438FC" w:rsidRDefault="00B438FC" w:rsidP="00034FA5">
      <w:pPr>
        <w:spacing w:after="0" w:line="240" w:lineRule="auto"/>
      </w:pPr>
      <w:r>
        <w:continuationSeparator/>
      </w:r>
    </w:p>
  </w:footnote>
  <w:footnote w:id="1">
    <w:p w14:paraId="19959A81" w14:textId="77777777" w:rsidR="001C5A51" w:rsidRDefault="001C5A51" w:rsidP="00542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A3B03">
          <w:rPr>
            <w:rStyle w:val="Hyperlink"/>
          </w:rPr>
          <w:t>WHO Global strategy on infant and young child feeding. 2001. World Health Organization. Geneva.</w:t>
        </w:r>
      </w:hyperlink>
    </w:p>
  </w:footnote>
  <w:footnote w:id="2">
    <w:p w14:paraId="3BA56839" w14:textId="4F97B330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53FC8">
          <w:rPr>
            <w:rStyle w:val="Hyperlink"/>
          </w:rPr>
          <w:t>PAHO/WHO. 2003. Guiding principles for complementary feeding of the breastfed child. Washington, D.C./Geneva, Switzerland: PAHO/WHO.</w:t>
        </w:r>
      </w:hyperlink>
    </w:p>
  </w:footnote>
  <w:footnote w:id="3">
    <w:p w14:paraId="2417C30A" w14:textId="08634D1F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53FC8">
          <w:rPr>
            <w:rStyle w:val="Hyperlink"/>
          </w:rPr>
          <w:t>WHO. 2005. Guiding principles for feeding non-breastfed children 6-24 months of age. World Health Organization. Geneva. Switzerland.</w:t>
        </w:r>
      </w:hyperlink>
    </w:p>
  </w:footnote>
  <w:footnote w:id="4">
    <w:p w14:paraId="7E9D68AA" w14:textId="77777777" w:rsidR="00E81513" w:rsidRDefault="00E81513" w:rsidP="00E81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8B4D45">
          <w:rPr>
            <w:rStyle w:val="Hyperlink"/>
          </w:rPr>
          <w:t>WHO. Guideline: Counselling of Women to Improve Breastfeeding Practices. 2018. World Health Organization. Geneva.</w:t>
        </w:r>
      </w:hyperlink>
    </w:p>
  </w:footnote>
  <w:footnote w:id="5">
    <w:p w14:paraId="777317AE" w14:textId="6158E476" w:rsidR="001C5A51" w:rsidRPr="003C7AB8" w:rsidRDefault="001C5A51" w:rsidP="003C7AB8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HYPERLINK "http://apps.who.int/iris/bitstream/handle/10665/275990/9789241514873-eng.pdf?ua=1" </w:instrText>
      </w:r>
      <w:r>
        <w:fldChar w:fldCharType="separate"/>
      </w:r>
      <w:r w:rsidRPr="003C7AB8">
        <w:rPr>
          <w:rStyle w:val="Hyperlink"/>
        </w:rPr>
        <w:t>Global nutrition policy review 2016-2017: country progress in creating enabling policy environments for</w:t>
      </w:r>
    </w:p>
    <w:p w14:paraId="3F4257B9" w14:textId="2BE6FB4E" w:rsidR="001C5A51" w:rsidRDefault="001C5A51" w:rsidP="003C7AB8">
      <w:pPr>
        <w:pStyle w:val="FootnoteText"/>
      </w:pPr>
      <w:r w:rsidRPr="003C7AB8">
        <w:rPr>
          <w:rStyle w:val="Hyperlink"/>
        </w:rPr>
        <w:t xml:space="preserve">promoting healthy diets and nutrition. Geneva: World Health Organization; 2018. </w:t>
      </w:r>
      <w:proofErr w:type="spellStart"/>
      <w:r w:rsidRPr="003C7AB8">
        <w:rPr>
          <w:rStyle w:val="Hyperlink"/>
        </w:rPr>
        <w:t>Licence</w:t>
      </w:r>
      <w:proofErr w:type="spellEnd"/>
      <w:r w:rsidRPr="003C7AB8">
        <w:rPr>
          <w:rStyle w:val="Hyperlink"/>
        </w:rPr>
        <w:t>: CC BY-NC-SA 3.0 IGO.</w:t>
      </w:r>
      <w:r>
        <w:fldChar w:fldCharType="end"/>
      </w:r>
    </w:p>
  </w:footnote>
  <w:footnote w:id="6">
    <w:p w14:paraId="736B5700" w14:textId="465B82CC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32F6">
        <w:t>Indicators for assessing infant and young child feeding practices: conclusions of a consensus meeting held 6–8 November 2007 in Washington D.C., USA.</w:t>
      </w:r>
    </w:p>
  </w:footnote>
  <w:footnote w:id="7">
    <w:p w14:paraId="01F65CE2" w14:textId="23B2BE8C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proofErr w:type="spellStart"/>
        <w:r w:rsidRPr="002F57C9">
          <w:rPr>
            <w:rStyle w:val="Hyperlink"/>
          </w:rPr>
          <w:t>Mukuria</w:t>
        </w:r>
        <w:proofErr w:type="spellEnd"/>
        <w:r w:rsidRPr="002F57C9">
          <w:rPr>
            <w:rStyle w:val="Hyperlink"/>
          </w:rPr>
          <w:t xml:space="preserve">, </w:t>
        </w:r>
        <w:proofErr w:type="spellStart"/>
        <w:r w:rsidRPr="002F57C9">
          <w:rPr>
            <w:rStyle w:val="Hyperlink"/>
          </w:rPr>
          <w:t>Altrena</w:t>
        </w:r>
        <w:proofErr w:type="spellEnd"/>
        <w:r w:rsidRPr="002F57C9">
          <w:rPr>
            <w:rStyle w:val="Hyperlink"/>
          </w:rPr>
          <w:t xml:space="preserve"> G., Monica T. Kothari, and Noureddine </w:t>
        </w:r>
        <w:proofErr w:type="spellStart"/>
        <w:r w:rsidRPr="002F57C9">
          <w:rPr>
            <w:rStyle w:val="Hyperlink"/>
          </w:rPr>
          <w:t>Abderrahim</w:t>
        </w:r>
        <w:proofErr w:type="spellEnd"/>
        <w:r w:rsidRPr="002F57C9">
          <w:rPr>
            <w:rStyle w:val="Hyperlink"/>
          </w:rPr>
          <w:t>. 2006. Infant and Young Child Feeding Updates. Calverton, Maryland, USA: ORC Macro.</w:t>
        </w:r>
      </w:hyperlink>
    </w:p>
  </w:footnote>
  <w:footnote w:id="8">
    <w:p w14:paraId="251CA7D4" w14:textId="65A05C56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anchor="t=Postnatal_Care.htm" w:history="1">
        <w:r w:rsidRPr="003C7AB8">
          <w:rPr>
            <w:rStyle w:val="Hyperlink"/>
          </w:rPr>
          <w:t>DHS Program. Guide to DHS Statistics DHS-7: Postnatal care. Rockville, Maryland, USA.</w:t>
        </w:r>
      </w:hyperlink>
    </w:p>
  </w:footnote>
  <w:footnote w:id="9">
    <w:p w14:paraId="66824699" w14:textId="233B89D5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2F57C9">
          <w:rPr>
            <w:rStyle w:val="Hyperlink"/>
          </w:rPr>
          <w:t xml:space="preserve">McCarthy KJ, Blanc AK, Warren CE, </w:t>
        </w:r>
        <w:proofErr w:type="spellStart"/>
        <w:r w:rsidRPr="002F57C9">
          <w:rPr>
            <w:rStyle w:val="Hyperlink"/>
          </w:rPr>
          <w:t>Mdawida</w:t>
        </w:r>
        <w:proofErr w:type="spellEnd"/>
        <w:r w:rsidRPr="002F57C9">
          <w:rPr>
            <w:rStyle w:val="Hyperlink"/>
          </w:rPr>
          <w:t xml:space="preserve"> B. Women’s recall of maternal and newborn interventions received in the postnatal period: a validity study in Kenya and Swaziland. Journal of global health. 2018 Jun;8(1).</w:t>
        </w:r>
      </w:hyperlink>
    </w:p>
  </w:footnote>
  <w:footnote w:id="10">
    <w:p w14:paraId="5FBCBCCD" w14:textId="141F59A8" w:rsidR="001C5A51" w:rsidRDefault="001C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F268BE">
          <w:rPr>
            <w:rStyle w:val="Hyperlink"/>
          </w:rPr>
          <w:t xml:space="preserve">Lisman JE, </w:t>
        </w:r>
        <w:proofErr w:type="spellStart"/>
        <w:r w:rsidRPr="00F268BE">
          <w:rPr>
            <w:rStyle w:val="Hyperlink"/>
          </w:rPr>
          <w:t>Idiart</w:t>
        </w:r>
        <w:proofErr w:type="spellEnd"/>
        <w:r w:rsidRPr="00F268BE">
          <w:rPr>
            <w:rStyle w:val="Hyperlink"/>
          </w:rPr>
          <w:t xml:space="preserve"> MA. Storage of 7+/-2 short-term memories in oscillatory </w:t>
        </w:r>
        <w:proofErr w:type="spellStart"/>
        <w:r w:rsidRPr="00F268BE">
          <w:rPr>
            <w:rStyle w:val="Hyperlink"/>
          </w:rPr>
          <w:t>subcycles</w:t>
        </w:r>
        <w:proofErr w:type="spellEnd"/>
        <w:r w:rsidRPr="00F268BE">
          <w:rPr>
            <w:rStyle w:val="Hyperlink"/>
          </w:rPr>
          <w:t>. Science. 1995 Mar 10;267(5203):1512-5.</w:t>
        </w:r>
      </w:hyperlink>
    </w:p>
  </w:footnote>
  <w:footnote w:id="11">
    <w:p w14:paraId="34C9FD1E" w14:textId="07D804E7" w:rsidR="001C5A51" w:rsidRDefault="001C5A51" w:rsidP="008C769E">
      <w:pPr>
        <w:pStyle w:val="FootnoteText"/>
      </w:pPr>
      <w:r>
        <w:rPr>
          <w:rStyle w:val="FootnoteReference"/>
        </w:rPr>
        <w:footnoteRef/>
      </w:r>
      <w:r>
        <w:t xml:space="preserve"> In</w:t>
      </w:r>
      <w:r w:rsidRPr="00A539D0">
        <w:t xml:space="preserve"> an online survey conducted by DataDENT earlier this year, nutrition professionals were asked how they access and use data on nutrition. DHS was the most commonly reported data source used (73.8% of the 191 survey respondent</w:t>
      </w:r>
      <w:r>
        <w:t>s</w:t>
      </w:r>
      <w:r w:rsidRPr="00A539D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69B"/>
    <w:multiLevelType w:val="hybridMultilevel"/>
    <w:tmpl w:val="DF8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4E38"/>
    <w:multiLevelType w:val="hybridMultilevel"/>
    <w:tmpl w:val="6710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83E"/>
    <w:multiLevelType w:val="hybridMultilevel"/>
    <w:tmpl w:val="6AD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96"/>
    <w:multiLevelType w:val="hybridMultilevel"/>
    <w:tmpl w:val="F372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3934"/>
    <w:multiLevelType w:val="hybridMultilevel"/>
    <w:tmpl w:val="91249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11F1A"/>
    <w:multiLevelType w:val="hybridMultilevel"/>
    <w:tmpl w:val="568A826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244"/>
    <w:multiLevelType w:val="hybridMultilevel"/>
    <w:tmpl w:val="FBE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D2147F"/>
    <w:multiLevelType w:val="hybridMultilevel"/>
    <w:tmpl w:val="AB1E380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356B"/>
    <w:multiLevelType w:val="hybridMultilevel"/>
    <w:tmpl w:val="F35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037D"/>
    <w:multiLevelType w:val="hybridMultilevel"/>
    <w:tmpl w:val="A1D01AB0"/>
    <w:lvl w:ilvl="0" w:tplc="D01C751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0ADB"/>
    <w:multiLevelType w:val="hybridMultilevel"/>
    <w:tmpl w:val="4CCE141C"/>
    <w:lvl w:ilvl="0" w:tplc="86D414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268E"/>
    <w:multiLevelType w:val="hybridMultilevel"/>
    <w:tmpl w:val="77B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547D"/>
    <w:multiLevelType w:val="hybridMultilevel"/>
    <w:tmpl w:val="F2A8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37924"/>
    <w:multiLevelType w:val="hybridMultilevel"/>
    <w:tmpl w:val="D9A0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734"/>
    <w:multiLevelType w:val="hybridMultilevel"/>
    <w:tmpl w:val="35F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72DEB"/>
    <w:multiLevelType w:val="hybridMultilevel"/>
    <w:tmpl w:val="6FA0AC3C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55D21"/>
    <w:multiLevelType w:val="hybridMultilevel"/>
    <w:tmpl w:val="12E8D20E"/>
    <w:lvl w:ilvl="0" w:tplc="4B2A09C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37365"/>
    <w:multiLevelType w:val="hybridMultilevel"/>
    <w:tmpl w:val="3A1E180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E1AA4"/>
    <w:multiLevelType w:val="hybridMultilevel"/>
    <w:tmpl w:val="F2A8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246F3"/>
    <w:multiLevelType w:val="hybridMultilevel"/>
    <w:tmpl w:val="FFB2026E"/>
    <w:lvl w:ilvl="0" w:tplc="7A9A0B8C">
      <w:start w:val="1"/>
      <w:numFmt w:val="upperLetter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2655"/>
    <w:multiLevelType w:val="hybridMultilevel"/>
    <w:tmpl w:val="0838B0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E5E58"/>
    <w:multiLevelType w:val="hybridMultilevel"/>
    <w:tmpl w:val="2C704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626D"/>
    <w:multiLevelType w:val="hybridMultilevel"/>
    <w:tmpl w:val="F2A8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F0D45"/>
    <w:multiLevelType w:val="hybridMultilevel"/>
    <w:tmpl w:val="B2145A30"/>
    <w:lvl w:ilvl="0" w:tplc="3C6C7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22"/>
  </w:num>
  <w:num w:numId="4">
    <w:abstractNumId w:val="21"/>
  </w:num>
  <w:num w:numId="5">
    <w:abstractNumId w:val="35"/>
  </w:num>
  <w:num w:numId="6">
    <w:abstractNumId w:val="10"/>
  </w:num>
  <w:num w:numId="7">
    <w:abstractNumId w:val="19"/>
  </w:num>
  <w:num w:numId="8">
    <w:abstractNumId w:val="31"/>
  </w:num>
  <w:num w:numId="9">
    <w:abstractNumId w:val="44"/>
  </w:num>
  <w:num w:numId="10">
    <w:abstractNumId w:val="6"/>
  </w:num>
  <w:num w:numId="11">
    <w:abstractNumId w:val="46"/>
  </w:num>
  <w:num w:numId="12">
    <w:abstractNumId w:val="48"/>
  </w:num>
  <w:num w:numId="13">
    <w:abstractNumId w:val="28"/>
  </w:num>
  <w:num w:numId="14">
    <w:abstractNumId w:val="14"/>
  </w:num>
  <w:num w:numId="15">
    <w:abstractNumId w:val="41"/>
  </w:num>
  <w:num w:numId="16">
    <w:abstractNumId w:val="25"/>
  </w:num>
  <w:num w:numId="17">
    <w:abstractNumId w:val="34"/>
  </w:num>
  <w:num w:numId="18">
    <w:abstractNumId w:val="0"/>
  </w:num>
  <w:num w:numId="19">
    <w:abstractNumId w:val="20"/>
  </w:num>
  <w:num w:numId="20">
    <w:abstractNumId w:val="18"/>
  </w:num>
  <w:num w:numId="21">
    <w:abstractNumId w:val="17"/>
  </w:num>
  <w:num w:numId="22">
    <w:abstractNumId w:val="36"/>
  </w:num>
  <w:num w:numId="23">
    <w:abstractNumId w:val="30"/>
  </w:num>
  <w:num w:numId="24">
    <w:abstractNumId w:val="23"/>
  </w:num>
  <w:num w:numId="25">
    <w:abstractNumId w:val="4"/>
  </w:num>
  <w:num w:numId="26">
    <w:abstractNumId w:val="9"/>
  </w:num>
  <w:num w:numId="27">
    <w:abstractNumId w:val="27"/>
  </w:num>
  <w:num w:numId="28">
    <w:abstractNumId w:val="5"/>
  </w:num>
  <w:num w:numId="29">
    <w:abstractNumId w:val="42"/>
  </w:num>
  <w:num w:numId="30">
    <w:abstractNumId w:val="39"/>
  </w:num>
  <w:num w:numId="31">
    <w:abstractNumId w:val="29"/>
  </w:num>
  <w:num w:numId="32">
    <w:abstractNumId w:val="8"/>
  </w:num>
  <w:num w:numId="33">
    <w:abstractNumId w:val="11"/>
  </w:num>
  <w:num w:numId="34">
    <w:abstractNumId w:val="33"/>
  </w:num>
  <w:num w:numId="35">
    <w:abstractNumId w:val="26"/>
  </w:num>
  <w:num w:numId="36">
    <w:abstractNumId w:val="47"/>
  </w:num>
  <w:num w:numId="37">
    <w:abstractNumId w:val="2"/>
  </w:num>
  <w:num w:numId="38">
    <w:abstractNumId w:val="16"/>
  </w:num>
  <w:num w:numId="39">
    <w:abstractNumId w:val="3"/>
  </w:num>
  <w:num w:numId="40">
    <w:abstractNumId w:val="24"/>
  </w:num>
  <w:num w:numId="41">
    <w:abstractNumId w:val="38"/>
  </w:num>
  <w:num w:numId="42">
    <w:abstractNumId w:val="1"/>
  </w:num>
  <w:num w:numId="43">
    <w:abstractNumId w:val="7"/>
  </w:num>
  <w:num w:numId="44">
    <w:abstractNumId w:val="45"/>
  </w:num>
  <w:num w:numId="45">
    <w:abstractNumId w:val="12"/>
  </w:num>
  <w:num w:numId="46">
    <w:abstractNumId w:val="37"/>
  </w:num>
  <w:num w:numId="47">
    <w:abstractNumId w:val="32"/>
  </w:num>
  <w:num w:numId="48">
    <w:abstractNumId w:val="1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1C92"/>
    <w:rsid w:val="00006877"/>
    <w:rsid w:val="000135CE"/>
    <w:rsid w:val="00025FB7"/>
    <w:rsid w:val="000278F5"/>
    <w:rsid w:val="000319E3"/>
    <w:rsid w:val="00034FA5"/>
    <w:rsid w:val="000423E9"/>
    <w:rsid w:val="000763CC"/>
    <w:rsid w:val="000B2790"/>
    <w:rsid w:val="000B38D7"/>
    <w:rsid w:val="000C010E"/>
    <w:rsid w:val="000C032C"/>
    <w:rsid w:val="000C3327"/>
    <w:rsid w:val="000D74B1"/>
    <w:rsid w:val="000E1EC7"/>
    <w:rsid w:val="000E7254"/>
    <w:rsid w:val="000F1760"/>
    <w:rsid w:val="00103EE0"/>
    <w:rsid w:val="00104EA8"/>
    <w:rsid w:val="00116C40"/>
    <w:rsid w:val="0011742D"/>
    <w:rsid w:val="00123FA0"/>
    <w:rsid w:val="0012717B"/>
    <w:rsid w:val="0017005C"/>
    <w:rsid w:val="0017403F"/>
    <w:rsid w:val="001741C6"/>
    <w:rsid w:val="001C34C8"/>
    <w:rsid w:val="001C5A51"/>
    <w:rsid w:val="001E73BD"/>
    <w:rsid w:val="00205E95"/>
    <w:rsid w:val="00220325"/>
    <w:rsid w:val="0022159F"/>
    <w:rsid w:val="00244D2F"/>
    <w:rsid w:val="00264A83"/>
    <w:rsid w:val="00282253"/>
    <w:rsid w:val="00297CFE"/>
    <w:rsid w:val="002B7360"/>
    <w:rsid w:val="002C1AE6"/>
    <w:rsid w:val="002D04CE"/>
    <w:rsid w:val="002D566C"/>
    <w:rsid w:val="002F57C9"/>
    <w:rsid w:val="00304C4E"/>
    <w:rsid w:val="00306290"/>
    <w:rsid w:val="003466AF"/>
    <w:rsid w:val="003528E7"/>
    <w:rsid w:val="00355C18"/>
    <w:rsid w:val="00355F9D"/>
    <w:rsid w:val="0038255B"/>
    <w:rsid w:val="00382872"/>
    <w:rsid w:val="00383E4F"/>
    <w:rsid w:val="003861E0"/>
    <w:rsid w:val="0039410E"/>
    <w:rsid w:val="003A1451"/>
    <w:rsid w:val="003A7733"/>
    <w:rsid w:val="003B03C8"/>
    <w:rsid w:val="003B42BF"/>
    <w:rsid w:val="003C7AB8"/>
    <w:rsid w:val="003D45B0"/>
    <w:rsid w:val="003E3447"/>
    <w:rsid w:val="0040148E"/>
    <w:rsid w:val="004031DB"/>
    <w:rsid w:val="00424E6D"/>
    <w:rsid w:val="00445A00"/>
    <w:rsid w:val="004613DC"/>
    <w:rsid w:val="00464696"/>
    <w:rsid w:val="004832F6"/>
    <w:rsid w:val="00487D97"/>
    <w:rsid w:val="004B7EBC"/>
    <w:rsid w:val="004C6989"/>
    <w:rsid w:val="004E6F3A"/>
    <w:rsid w:val="004F3DF6"/>
    <w:rsid w:val="00510943"/>
    <w:rsid w:val="00511239"/>
    <w:rsid w:val="00537C6D"/>
    <w:rsid w:val="00542FB5"/>
    <w:rsid w:val="0055326D"/>
    <w:rsid w:val="0055379A"/>
    <w:rsid w:val="005574F9"/>
    <w:rsid w:val="00573E27"/>
    <w:rsid w:val="005A41D9"/>
    <w:rsid w:val="005B0C76"/>
    <w:rsid w:val="005D7B40"/>
    <w:rsid w:val="00613E2B"/>
    <w:rsid w:val="00614F55"/>
    <w:rsid w:val="00615877"/>
    <w:rsid w:val="00626E8B"/>
    <w:rsid w:val="0062753F"/>
    <w:rsid w:val="0065151E"/>
    <w:rsid w:val="00653055"/>
    <w:rsid w:val="006847EB"/>
    <w:rsid w:val="006912AC"/>
    <w:rsid w:val="00692CC0"/>
    <w:rsid w:val="006954D8"/>
    <w:rsid w:val="0069638E"/>
    <w:rsid w:val="006A2DB8"/>
    <w:rsid w:val="006B469E"/>
    <w:rsid w:val="006B7BC4"/>
    <w:rsid w:val="006C2A13"/>
    <w:rsid w:val="006D6AB2"/>
    <w:rsid w:val="007006D6"/>
    <w:rsid w:val="00702693"/>
    <w:rsid w:val="00733F87"/>
    <w:rsid w:val="00736F09"/>
    <w:rsid w:val="0074317C"/>
    <w:rsid w:val="007478BD"/>
    <w:rsid w:val="007546FA"/>
    <w:rsid w:val="00767A0A"/>
    <w:rsid w:val="007752AC"/>
    <w:rsid w:val="00776B0C"/>
    <w:rsid w:val="0079250A"/>
    <w:rsid w:val="0079641D"/>
    <w:rsid w:val="007B13DB"/>
    <w:rsid w:val="007B2FF5"/>
    <w:rsid w:val="007B6624"/>
    <w:rsid w:val="007D3C54"/>
    <w:rsid w:val="007E3665"/>
    <w:rsid w:val="007E6B56"/>
    <w:rsid w:val="007F139B"/>
    <w:rsid w:val="007F5D55"/>
    <w:rsid w:val="008029DB"/>
    <w:rsid w:val="00827ABA"/>
    <w:rsid w:val="008411F0"/>
    <w:rsid w:val="008658E3"/>
    <w:rsid w:val="00867A85"/>
    <w:rsid w:val="00872BDD"/>
    <w:rsid w:val="00886DF1"/>
    <w:rsid w:val="00894F76"/>
    <w:rsid w:val="008A0329"/>
    <w:rsid w:val="008A1AAD"/>
    <w:rsid w:val="008A5148"/>
    <w:rsid w:val="008A5F92"/>
    <w:rsid w:val="008B38A1"/>
    <w:rsid w:val="008C4808"/>
    <w:rsid w:val="008C68F9"/>
    <w:rsid w:val="008C769E"/>
    <w:rsid w:val="008D519B"/>
    <w:rsid w:val="008E4646"/>
    <w:rsid w:val="009021A3"/>
    <w:rsid w:val="0090362E"/>
    <w:rsid w:val="00911980"/>
    <w:rsid w:val="00911C8F"/>
    <w:rsid w:val="00922B2C"/>
    <w:rsid w:val="00926C18"/>
    <w:rsid w:val="0093777F"/>
    <w:rsid w:val="00940694"/>
    <w:rsid w:val="00950074"/>
    <w:rsid w:val="00953FC8"/>
    <w:rsid w:val="00957413"/>
    <w:rsid w:val="009679CF"/>
    <w:rsid w:val="00975A57"/>
    <w:rsid w:val="00980229"/>
    <w:rsid w:val="009854DE"/>
    <w:rsid w:val="00986A1E"/>
    <w:rsid w:val="00986A8E"/>
    <w:rsid w:val="00987251"/>
    <w:rsid w:val="00991B1C"/>
    <w:rsid w:val="009B471F"/>
    <w:rsid w:val="009C3BE0"/>
    <w:rsid w:val="009D1D04"/>
    <w:rsid w:val="009F1DB3"/>
    <w:rsid w:val="009F494C"/>
    <w:rsid w:val="009F79C7"/>
    <w:rsid w:val="009F7A05"/>
    <w:rsid w:val="00A033B3"/>
    <w:rsid w:val="00A10C26"/>
    <w:rsid w:val="00A14DF1"/>
    <w:rsid w:val="00A22BDC"/>
    <w:rsid w:val="00A232C2"/>
    <w:rsid w:val="00A345A4"/>
    <w:rsid w:val="00A50F80"/>
    <w:rsid w:val="00A65027"/>
    <w:rsid w:val="00A67ECE"/>
    <w:rsid w:val="00A715E9"/>
    <w:rsid w:val="00A73044"/>
    <w:rsid w:val="00A916C6"/>
    <w:rsid w:val="00AA1C8C"/>
    <w:rsid w:val="00AC1CA1"/>
    <w:rsid w:val="00AC469E"/>
    <w:rsid w:val="00AD0B0A"/>
    <w:rsid w:val="00AD2718"/>
    <w:rsid w:val="00AD47F3"/>
    <w:rsid w:val="00AE3A24"/>
    <w:rsid w:val="00AF1F6A"/>
    <w:rsid w:val="00B01ED7"/>
    <w:rsid w:val="00B11A57"/>
    <w:rsid w:val="00B40FB5"/>
    <w:rsid w:val="00B438FC"/>
    <w:rsid w:val="00B44FEB"/>
    <w:rsid w:val="00B55EF7"/>
    <w:rsid w:val="00B65DEC"/>
    <w:rsid w:val="00B71A43"/>
    <w:rsid w:val="00B816BC"/>
    <w:rsid w:val="00B85FDD"/>
    <w:rsid w:val="00B93497"/>
    <w:rsid w:val="00B95BE6"/>
    <w:rsid w:val="00B96B5C"/>
    <w:rsid w:val="00B96C71"/>
    <w:rsid w:val="00BA7B8F"/>
    <w:rsid w:val="00BC2C05"/>
    <w:rsid w:val="00BD0713"/>
    <w:rsid w:val="00BE4C32"/>
    <w:rsid w:val="00BF4DFF"/>
    <w:rsid w:val="00C02557"/>
    <w:rsid w:val="00C208C8"/>
    <w:rsid w:val="00C22FBC"/>
    <w:rsid w:val="00C35ECD"/>
    <w:rsid w:val="00C420DE"/>
    <w:rsid w:val="00C43BDD"/>
    <w:rsid w:val="00C551ED"/>
    <w:rsid w:val="00C646AC"/>
    <w:rsid w:val="00C737FB"/>
    <w:rsid w:val="00C73D70"/>
    <w:rsid w:val="00C84B88"/>
    <w:rsid w:val="00C970EB"/>
    <w:rsid w:val="00CB0F09"/>
    <w:rsid w:val="00CB1C12"/>
    <w:rsid w:val="00CE2F0A"/>
    <w:rsid w:val="00CE7ABE"/>
    <w:rsid w:val="00D00F57"/>
    <w:rsid w:val="00D0212E"/>
    <w:rsid w:val="00D03CFA"/>
    <w:rsid w:val="00D15788"/>
    <w:rsid w:val="00D21D96"/>
    <w:rsid w:val="00D303D3"/>
    <w:rsid w:val="00D34E2E"/>
    <w:rsid w:val="00D36A1D"/>
    <w:rsid w:val="00D45347"/>
    <w:rsid w:val="00D74094"/>
    <w:rsid w:val="00D749DB"/>
    <w:rsid w:val="00D75B7D"/>
    <w:rsid w:val="00D91BB0"/>
    <w:rsid w:val="00D9355E"/>
    <w:rsid w:val="00DA1513"/>
    <w:rsid w:val="00DB153F"/>
    <w:rsid w:val="00DB1FED"/>
    <w:rsid w:val="00DB6B2B"/>
    <w:rsid w:val="00DD1458"/>
    <w:rsid w:val="00DD3365"/>
    <w:rsid w:val="00DD6D84"/>
    <w:rsid w:val="00E031FC"/>
    <w:rsid w:val="00E25128"/>
    <w:rsid w:val="00E3046B"/>
    <w:rsid w:val="00E309EB"/>
    <w:rsid w:val="00E3288D"/>
    <w:rsid w:val="00E3695A"/>
    <w:rsid w:val="00E425FF"/>
    <w:rsid w:val="00E42624"/>
    <w:rsid w:val="00E559D2"/>
    <w:rsid w:val="00E61828"/>
    <w:rsid w:val="00E65833"/>
    <w:rsid w:val="00E80C15"/>
    <w:rsid w:val="00E81513"/>
    <w:rsid w:val="00E83F51"/>
    <w:rsid w:val="00E8522A"/>
    <w:rsid w:val="00E92233"/>
    <w:rsid w:val="00E93A89"/>
    <w:rsid w:val="00EA2479"/>
    <w:rsid w:val="00EB2F4E"/>
    <w:rsid w:val="00EC0E37"/>
    <w:rsid w:val="00ED307C"/>
    <w:rsid w:val="00ED3BDC"/>
    <w:rsid w:val="00ED6D89"/>
    <w:rsid w:val="00EF7724"/>
    <w:rsid w:val="00F1343B"/>
    <w:rsid w:val="00F23BF1"/>
    <w:rsid w:val="00F268BE"/>
    <w:rsid w:val="00F304C7"/>
    <w:rsid w:val="00F328D2"/>
    <w:rsid w:val="00F35CFC"/>
    <w:rsid w:val="00F64788"/>
    <w:rsid w:val="00F75888"/>
    <w:rsid w:val="00F93AFC"/>
    <w:rsid w:val="00FA1BEA"/>
    <w:rsid w:val="00FA4713"/>
    <w:rsid w:val="00FB74F5"/>
    <w:rsid w:val="00FC2318"/>
    <w:rsid w:val="00FC2ECE"/>
    <w:rsid w:val="00FD1D36"/>
    <w:rsid w:val="00FD24C2"/>
    <w:rsid w:val="00FF1FEB"/>
    <w:rsid w:val="00FF32D0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86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A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6A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D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E36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665"/>
    <w:rPr>
      <w:rFonts w:ascii="Calibri" w:hAnsi="Calibri"/>
      <w:szCs w:val="21"/>
    </w:rPr>
  </w:style>
  <w:style w:type="paragraph" w:customStyle="1" w:styleId="p1">
    <w:name w:val="p1"/>
    <w:basedOn w:val="Normal"/>
    <w:rsid w:val="005574F9"/>
    <w:pPr>
      <w:spacing w:after="0" w:line="240" w:lineRule="auto"/>
    </w:pPr>
    <w:rPr>
      <w:rFonts w:ascii="Helvetica" w:hAnsi="Helvetica" w:cs="Times New Roman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16C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fpri.org/" TargetMode="External"/><Relationship Id="rId18" Type="http://schemas.openxmlformats.org/officeDocument/2006/relationships/hyperlink" Target="https://www.pma2020.org/nutri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aliveandthrive.org/" TargetMode="External"/><Relationship Id="rId17" Type="http://schemas.openxmlformats.org/officeDocument/2006/relationships/hyperlink" Target="https://www.ifpri.org/project/alive-and-thr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untdown2030.org/" TargetMode="External"/><Relationship Id="rId20" Type="http://schemas.openxmlformats.org/officeDocument/2006/relationships/hyperlink" Target="https://www.pma2020.org/nutri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atadent.org/resources-nutrition-household-facility-survey-consultation-meeting-repor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fpri.org/project/alive-and-thriv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tadent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7878473" TargetMode="External"/><Relationship Id="rId3" Type="http://schemas.openxmlformats.org/officeDocument/2006/relationships/hyperlink" Target="http://apps.who.int/iris/bitstream/handle/10665/43281/9241593431.pdf?sequence=1" TargetMode="External"/><Relationship Id="rId7" Type="http://schemas.openxmlformats.org/officeDocument/2006/relationships/hyperlink" Target="https://www.ncbi.nlm.nih.gov/pmc/articles/PMC5983915/" TargetMode="External"/><Relationship Id="rId2" Type="http://schemas.openxmlformats.org/officeDocument/2006/relationships/hyperlink" Target="https://www.who.int/nutrition/publications/guiding_principles_compfeeding_breastfed.pdf" TargetMode="External"/><Relationship Id="rId1" Type="http://schemas.openxmlformats.org/officeDocument/2006/relationships/hyperlink" Target="http://apps.who.int/iris/bitstream/handle/10665/42590/9241562218.pdf?sequence=1" TargetMode="External"/><Relationship Id="rId6" Type="http://schemas.openxmlformats.org/officeDocument/2006/relationships/hyperlink" Target="https://dhsprogram.com/data/Guide-to-DHS-Statistics/index.htm" TargetMode="External"/><Relationship Id="rId5" Type="http://schemas.openxmlformats.org/officeDocument/2006/relationships/hyperlink" Target="https://dhsprogram.com/pubs/pdf/NUT1/NUT1.pdf" TargetMode="External"/><Relationship Id="rId4" Type="http://schemas.openxmlformats.org/officeDocument/2006/relationships/hyperlink" Target="https://www.who.int/nutrition/publications/guidelines/counselling-women-improve-bf-practice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2BFA1-5983-4416-BC0A-D709CB1137E8}">
  <ds:schemaRefs>
    <ds:schemaRef ds:uri="http://schemas.microsoft.com/office/2006/metadata/properties"/>
    <ds:schemaRef ds:uri="http://schemas.microsoft.com/office/infopath/2007/PartnerControls"/>
    <ds:schemaRef ds:uri="d16efad5-0601-4cf0-b7c2-89968258c777"/>
  </ds:schemaRefs>
</ds:datastoreItem>
</file>

<file path=customXml/itemProps4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13016A-49DC-40B7-A52E-49B671E2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Tricia Aung</cp:lastModifiedBy>
  <cp:revision>20</cp:revision>
  <dcterms:created xsi:type="dcterms:W3CDTF">2019-02-15T19:59:00Z</dcterms:created>
  <dcterms:modified xsi:type="dcterms:W3CDTF">2019-03-01T19:41:00Z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  <property fmtid="{D5CDD505-2E9C-101B-9397-08002B2CF9AE}" pid="4" name="Mendeley Document_1">
    <vt:lpwstr>True</vt:lpwstr>
  </property>
  <property fmtid="{D5CDD505-2E9C-101B-9397-08002B2CF9AE}" pid="5" name="Mendeley Unique User Id_1">
    <vt:lpwstr>1c6556d5-878b-3535-a972-b67a66641962</vt:lpwstr>
  </property>
</Properties>
</file>