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302CC54F" w14:textId="0C08BA23" w:rsidR="00220325" w:rsidRPr="00434C46" w:rsidRDefault="00434C46" w:rsidP="00ED6D89">
      <w:pPr>
        <w:rPr>
          <w:b/>
        </w:rPr>
      </w:pPr>
      <w:r w:rsidRPr="00DA3D98">
        <w:rPr>
          <w:b/>
        </w:rPr>
        <w:t xml:space="preserve">The request is submitted by HelpAge International.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1D21DDD6" w:rsidR="00383E4F" w:rsidRPr="007F36EC" w:rsidRDefault="00E6038C">
      <w:pPr>
        <w:rPr>
          <w:b/>
        </w:rPr>
      </w:pPr>
      <w:r>
        <w:rPr>
          <w:b/>
        </w:rPr>
        <w:t>Percentage</w:t>
      </w:r>
      <w:r w:rsidRPr="007F36EC">
        <w:rPr>
          <w:b/>
        </w:rPr>
        <w:t xml:space="preserve"> </w:t>
      </w:r>
      <w:r w:rsidR="003F22B6" w:rsidRPr="007F36EC">
        <w:rPr>
          <w:b/>
        </w:rPr>
        <w:t xml:space="preserve">of unregistered deaths by sex and age. 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6F6CFB40" w14:textId="4E1C3F17" w:rsidR="00E53275" w:rsidRPr="00F47DE0" w:rsidRDefault="00E53275" w:rsidP="00E53275">
      <w:pPr>
        <w:rPr>
          <w:rFonts w:eastAsia="Arial" w:cstheme="minorHAnsi"/>
          <w:b/>
        </w:rPr>
      </w:pPr>
      <w:r w:rsidRPr="00F47DE0">
        <w:rPr>
          <w:rFonts w:eastAsia="Arial" w:cstheme="minorHAnsi"/>
          <w:b/>
        </w:rPr>
        <w:t>Accurate data on mortality and causes of death across all ages is required to guide national policies in relation to demography</w:t>
      </w:r>
      <w:r w:rsidR="00583BF4">
        <w:rPr>
          <w:rFonts w:eastAsia="Arial" w:cstheme="minorHAnsi"/>
          <w:b/>
        </w:rPr>
        <w:t xml:space="preserve">, and provision of </w:t>
      </w:r>
      <w:r w:rsidRPr="00F47DE0">
        <w:rPr>
          <w:rFonts w:eastAsia="Arial" w:cstheme="minorHAnsi"/>
          <w:b/>
        </w:rPr>
        <w:t>health</w:t>
      </w:r>
      <w:r w:rsidR="00583BF4">
        <w:rPr>
          <w:rFonts w:eastAsia="Arial" w:cstheme="minorHAnsi"/>
          <w:b/>
        </w:rPr>
        <w:t xml:space="preserve"> and care services for current and future population</w:t>
      </w:r>
      <w:r w:rsidRPr="00F47DE0">
        <w:rPr>
          <w:rFonts w:eastAsia="Arial" w:cstheme="minorHAnsi"/>
          <w:b/>
        </w:rPr>
        <w:t xml:space="preserve">. </w:t>
      </w:r>
      <w:r w:rsidR="00910AA8">
        <w:rPr>
          <w:rFonts w:eastAsia="Arial" w:cstheme="minorHAnsi"/>
          <w:b/>
        </w:rPr>
        <w:t>However, d</w:t>
      </w:r>
      <w:r w:rsidR="00910AA8">
        <w:rPr>
          <w:rFonts w:eastAsia="Arial" w:cstheme="minorHAnsi"/>
          <w:b/>
        </w:rPr>
        <w:t>eath registrations remain rare in low- and middle-income countries as</w:t>
      </w:r>
      <w:r w:rsidR="00910AA8" w:rsidRPr="00F47DE0">
        <w:rPr>
          <w:rFonts w:eastAsia="Arial" w:cstheme="minorHAnsi"/>
          <w:b/>
        </w:rPr>
        <w:t xml:space="preserve"> only 9</w:t>
      </w:r>
      <w:r w:rsidR="00910AA8">
        <w:rPr>
          <w:rFonts w:eastAsia="Arial" w:cstheme="minorHAnsi"/>
          <w:b/>
        </w:rPr>
        <w:t xml:space="preserve"> per cent</w:t>
      </w:r>
      <w:r w:rsidR="00910AA8" w:rsidRPr="00F47DE0">
        <w:rPr>
          <w:rFonts w:eastAsia="Arial" w:cstheme="minorHAnsi"/>
          <w:b/>
        </w:rPr>
        <w:t xml:space="preserve"> of deaths are registered, and only 34 countries have high-quality data on causes of deaths.</w:t>
      </w:r>
      <w:r w:rsidR="00910AA8">
        <w:rPr>
          <w:rStyle w:val="FootnoteReference"/>
          <w:rFonts w:eastAsia="Arial" w:cstheme="minorHAnsi"/>
          <w:b/>
        </w:rPr>
        <w:footnoteReference w:id="1"/>
      </w:r>
      <w:r w:rsidR="00910AA8">
        <w:rPr>
          <w:rFonts w:eastAsia="Arial" w:cstheme="minorHAnsi"/>
          <w:b/>
        </w:rPr>
        <w:t xml:space="preserve"> </w:t>
      </w:r>
      <w:r w:rsidR="0069710E">
        <w:rPr>
          <w:rFonts w:eastAsia="Arial" w:cstheme="minorHAnsi"/>
          <w:b/>
        </w:rPr>
        <w:t xml:space="preserve">There is a need to improve </w:t>
      </w:r>
      <w:r w:rsidR="00CC6A0C">
        <w:rPr>
          <w:rFonts w:eastAsia="Arial" w:cstheme="minorHAnsi"/>
          <w:b/>
        </w:rPr>
        <w:t xml:space="preserve">availability and coverage of national data on mortality. </w:t>
      </w:r>
    </w:p>
    <w:p w14:paraId="6E4F2D1C" w14:textId="48C95C7B" w:rsidR="001168C7" w:rsidRDefault="00A7716E" w:rsidP="00E5327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T</w:t>
      </w:r>
      <w:r w:rsidR="00E85C2D">
        <w:rPr>
          <w:rFonts w:eastAsia="Arial" w:cstheme="minorHAnsi"/>
          <w:b/>
        </w:rPr>
        <w:t xml:space="preserve">he module on Adult health and maternal mortality </w:t>
      </w:r>
      <w:r w:rsidR="00991F22">
        <w:rPr>
          <w:rFonts w:eastAsia="Arial" w:cstheme="minorHAnsi"/>
          <w:b/>
        </w:rPr>
        <w:t xml:space="preserve">currently </w:t>
      </w:r>
      <w:r w:rsidR="005B2FEB">
        <w:rPr>
          <w:rFonts w:eastAsia="Arial" w:cstheme="minorHAnsi"/>
          <w:b/>
        </w:rPr>
        <w:t xml:space="preserve">collects information about deaths of </w:t>
      </w:r>
      <w:r>
        <w:rPr>
          <w:rFonts w:eastAsia="Arial" w:cstheme="minorHAnsi"/>
          <w:b/>
        </w:rPr>
        <w:t>respondent</w:t>
      </w:r>
      <w:r w:rsidR="00E6038C">
        <w:rPr>
          <w:rFonts w:eastAsia="Arial" w:cstheme="minorHAnsi"/>
          <w:b/>
        </w:rPr>
        <w:t>s’</w:t>
      </w:r>
      <w:r>
        <w:rPr>
          <w:rFonts w:eastAsia="Arial" w:cstheme="minorHAnsi"/>
          <w:b/>
        </w:rPr>
        <w:t xml:space="preserve"> siblings. </w:t>
      </w:r>
      <w:proofErr w:type="gramStart"/>
      <w:r w:rsidR="002D5D2A" w:rsidRPr="00EF0AF6">
        <w:rPr>
          <w:rFonts w:eastAsia="Arial" w:cstheme="minorHAnsi"/>
          <w:b/>
        </w:rPr>
        <w:t>The</w:t>
      </w:r>
      <w:r w:rsidR="00936EF4">
        <w:rPr>
          <w:rFonts w:eastAsia="Arial" w:cstheme="minorHAnsi"/>
          <w:b/>
        </w:rPr>
        <w:t>refore</w:t>
      </w:r>
      <w:proofErr w:type="gramEnd"/>
      <w:r w:rsidR="00936EF4">
        <w:rPr>
          <w:rFonts w:eastAsia="Arial" w:cstheme="minorHAnsi"/>
          <w:b/>
        </w:rPr>
        <w:t xml:space="preserve"> </w:t>
      </w:r>
      <w:proofErr w:type="spellStart"/>
      <w:r w:rsidR="00936EF4">
        <w:rPr>
          <w:rFonts w:eastAsia="Arial" w:cstheme="minorHAnsi"/>
          <w:b/>
        </w:rPr>
        <w:t>HelpAge</w:t>
      </w:r>
      <w:proofErr w:type="spellEnd"/>
      <w:r w:rsidR="00936EF4">
        <w:rPr>
          <w:rFonts w:eastAsia="Arial" w:cstheme="minorHAnsi"/>
          <w:b/>
        </w:rPr>
        <w:t xml:space="preserve"> International requests</w:t>
      </w:r>
      <w:r w:rsidR="00CA2FD8">
        <w:rPr>
          <w:rFonts w:eastAsia="Arial" w:cstheme="minorHAnsi"/>
          <w:b/>
        </w:rPr>
        <w:t xml:space="preserve"> </w:t>
      </w:r>
      <w:r w:rsidR="00BF4719">
        <w:rPr>
          <w:rFonts w:eastAsia="Arial" w:cstheme="minorHAnsi"/>
          <w:b/>
        </w:rPr>
        <w:t xml:space="preserve">that the module </w:t>
      </w:r>
      <w:r w:rsidR="00CA2FD8">
        <w:rPr>
          <w:rFonts w:eastAsia="Arial" w:cstheme="minorHAnsi"/>
          <w:b/>
        </w:rPr>
        <w:t>collect</w:t>
      </w:r>
      <w:r w:rsidR="00BF4719">
        <w:rPr>
          <w:rFonts w:eastAsia="Arial" w:cstheme="minorHAnsi"/>
          <w:b/>
        </w:rPr>
        <w:t>s</w:t>
      </w:r>
      <w:r w:rsidR="00CA2FD8">
        <w:rPr>
          <w:rFonts w:eastAsia="Arial" w:cstheme="minorHAnsi"/>
          <w:b/>
        </w:rPr>
        <w:t xml:space="preserve"> information about:</w:t>
      </w:r>
    </w:p>
    <w:p w14:paraId="52E77891" w14:textId="07B4B439" w:rsidR="00220325" w:rsidRPr="001168C7" w:rsidRDefault="00CA2FD8" w:rsidP="001168C7">
      <w:pPr>
        <w:pStyle w:val="ListParagraph"/>
        <w:numPr>
          <w:ilvl w:val="0"/>
          <w:numId w:val="26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D</w:t>
      </w:r>
      <w:r w:rsidR="00944771">
        <w:rPr>
          <w:rFonts w:eastAsia="Arial" w:cstheme="minorHAnsi"/>
          <w:b/>
        </w:rPr>
        <w:t>eath</w:t>
      </w:r>
      <w:r>
        <w:rPr>
          <w:rFonts w:eastAsia="Arial" w:cstheme="minorHAnsi"/>
          <w:b/>
        </w:rPr>
        <w:t>s of any member</w:t>
      </w:r>
      <w:r w:rsidR="00944771">
        <w:rPr>
          <w:rFonts w:eastAsia="Arial" w:cstheme="minorHAnsi"/>
          <w:b/>
        </w:rPr>
        <w:t xml:space="preserve"> </w:t>
      </w:r>
      <w:r>
        <w:rPr>
          <w:rFonts w:eastAsia="Arial" w:cstheme="minorHAnsi"/>
          <w:b/>
        </w:rPr>
        <w:t>of</w:t>
      </w:r>
      <w:r w:rsidR="00944771">
        <w:rPr>
          <w:rFonts w:eastAsia="Arial" w:cstheme="minorHAnsi"/>
          <w:b/>
        </w:rPr>
        <w:t xml:space="preserve"> the household, and</w:t>
      </w:r>
      <w:r w:rsidR="002D5D2A" w:rsidRPr="001168C7">
        <w:rPr>
          <w:rFonts w:eastAsia="Arial" w:cstheme="minorHAnsi"/>
          <w:b/>
        </w:rPr>
        <w:t xml:space="preserve">  </w:t>
      </w:r>
    </w:p>
    <w:p w14:paraId="2BBB9F3A" w14:textId="5BF44A87" w:rsidR="001168C7" w:rsidRPr="001168C7" w:rsidRDefault="00944771" w:rsidP="001168C7">
      <w:pPr>
        <w:pStyle w:val="ListParagraph"/>
        <w:numPr>
          <w:ilvl w:val="0"/>
          <w:numId w:val="26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Whether </w:t>
      </w:r>
      <w:r w:rsidR="00097918">
        <w:rPr>
          <w:rFonts w:eastAsia="Arial" w:cstheme="minorHAnsi"/>
          <w:b/>
        </w:rPr>
        <w:t xml:space="preserve">each </w:t>
      </w:r>
      <w:r>
        <w:rPr>
          <w:rFonts w:eastAsia="Arial" w:cstheme="minorHAnsi"/>
          <w:b/>
        </w:rPr>
        <w:t>death w</w:t>
      </w:r>
      <w:r w:rsidR="00097918">
        <w:rPr>
          <w:rFonts w:eastAsia="Arial" w:cstheme="minorHAnsi"/>
          <w:b/>
        </w:rPr>
        <w:t>as</w:t>
      </w:r>
      <w:r>
        <w:rPr>
          <w:rFonts w:eastAsia="Arial" w:cstheme="minorHAnsi"/>
          <w:b/>
        </w:rPr>
        <w:t xml:space="preserve"> registered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lastRenderedPageBreak/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2E0B5723" w14:textId="77777777" w:rsidR="001F3B76" w:rsidRDefault="001F3B76" w:rsidP="005C2014">
      <w:pPr>
        <w:rPr>
          <w:b/>
        </w:rPr>
      </w:pPr>
    </w:p>
    <w:p w14:paraId="665DF9B8" w14:textId="0F2BEDEE" w:rsidR="005C2014" w:rsidRPr="001F3B76" w:rsidRDefault="005C2014" w:rsidP="005C2014">
      <w:pPr>
        <w:rPr>
          <w:b/>
        </w:rPr>
      </w:pPr>
      <w:r w:rsidRPr="001F3B76">
        <w:rPr>
          <w:b/>
        </w:rPr>
        <w:t>Has any member of the household died in the p</w:t>
      </w:r>
      <w:r w:rsidR="00C41F8E">
        <w:rPr>
          <w:b/>
        </w:rPr>
        <w:t>ast</w:t>
      </w:r>
      <w:r w:rsidRPr="001F3B76">
        <w:rPr>
          <w:b/>
        </w:rPr>
        <w:t xml:space="preserve"> 12 months?</w:t>
      </w:r>
    </w:p>
    <w:p w14:paraId="013C5F96" w14:textId="62A108A7" w:rsidR="005C2014" w:rsidRPr="001F3B76" w:rsidRDefault="005C2014" w:rsidP="005C2014">
      <w:pPr>
        <w:rPr>
          <w:b/>
        </w:rPr>
      </w:pPr>
      <w:r w:rsidRPr="001F3B76">
        <w:rPr>
          <w:b/>
        </w:rPr>
        <w:t xml:space="preserve">If yes, confirm </w:t>
      </w:r>
      <w:r w:rsidR="00E6038C" w:rsidRPr="001F3B76">
        <w:rPr>
          <w:b/>
        </w:rPr>
        <w:t>individual</w:t>
      </w:r>
      <w:r w:rsidR="00E6038C">
        <w:rPr>
          <w:b/>
        </w:rPr>
        <w:t>’s</w:t>
      </w:r>
      <w:r w:rsidR="00E6038C" w:rsidRPr="001F3B76">
        <w:rPr>
          <w:b/>
        </w:rPr>
        <w:t xml:space="preserve"> </w:t>
      </w:r>
      <w:r w:rsidRPr="001F3B76">
        <w:rPr>
          <w:b/>
        </w:rPr>
        <w:t xml:space="preserve">sex and age. </w:t>
      </w:r>
    </w:p>
    <w:p w14:paraId="4FDA3B03" w14:textId="2A84F8E9" w:rsidR="00220325" w:rsidRPr="001F3B76" w:rsidRDefault="005C2014" w:rsidP="005C2014">
      <w:pPr>
        <w:rPr>
          <w:b/>
        </w:rPr>
      </w:pPr>
      <w:r w:rsidRPr="001F3B76">
        <w:rPr>
          <w:b/>
        </w:rPr>
        <w:t>Was a death certificate issued?</w:t>
      </w:r>
    </w:p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232"/>
        <w:gridCol w:w="2484"/>
        <w:gridCol w:w="2462"/>
        <w:gridCol w:w="2727"/>
      </w:tblGrid>
      <w:tr w:rsidR="00E6038C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994DA1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6548B507" w14:textId="368B2A4B" w:rsidR="00ED6BB2" w:rsidRDefault="00ED6BB2" w:rsidP="00ED6BB2">
            <w:pPr>
              <w:tabs>
                <w:tab w:val="left" w:pos="810"/>
              </w:tabs>
              <w:ind w:left="810" w:hanging="450"/>
            </w:pPr>
            <w:r>
              <w:t>MM13</w:t>
            </w:r>
            <w:r w:rsidR="00994DA1">
              <w:t>,</w:t>
            </w:r>
          </w:p>
          <w:p w14:paraId="13E24648" w14:textId="2C03BA0B" w:rsidR="00994DA1" w:rsidRDefault="00994DA1" w:rsidP="00ED6BB2">
            <w:pPr>
              <w:tabs>
                <w:tab w:val="left" w:pos="810"/>
              </w:tabs>
              <w:ind w:left="810" w:hanging="450"/>
            </w:pPr>
            <w:r>
              <w:t>MM14</w:t>
            </w:r>
          </w:p>
          <w:p w14:paraId="1E2976C6" w14:textId="55BA407C" w:rsidR="00220325" w:rsidRDefault="00ED6BB2" w:rsidP="00ED6BB2">
            <w:pPr>
              <w:tabs>
                <w:tab w:val="left" w:pos="810"/>
              </w:tabs>
              <w:ind w:left="810" w:hanging="450"/>
            </w:pPr>
            <w:r>
              <w:t xml:space="preserve">MM15 </w:t>
            </w: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30095D94" w14:textId="2604FCDB" w:rsidR="00D45347" w:rsidRDefault="00ED6BB2" w:rsidP="00C420DE">
            <w:pPr>
              <w:tabs>
                <w:tab w:val="left" w:pos="810"/>
              </w:tabs>
              <w:ind w:left="810" w:hanging="450"/>
            </w:pPr>
            <w:r>
              <w:t xml:space="preserve">Name of brother or sister. </w:t>
            </w:r>
          </w:p>
          <w:p w14:paraId="286534A1" w14:textId="4C8F13A4" w:rsidR="00994DA1" w:rsidRDefault="00994DA1" w:rsidP="00C420DE">
            <w:pPr>
              <w:tabs>
                <w:tab w:val="left" w:pos="810"/>
              </w:tabs>
              <w:ind w:left="810" w:hanging="450"/>
            </w:pPr>
            <w:r>
              <w:t>Is (NAME) male or female?</w:t>
            </w:r>
          </w:p>
          <w:p w14:paraId="18ABB1A3" w14:textId="3631FF2B" w:rsidR="00ED6BB2" w:rsidRDefault="00ED6BB2" w:rsidP="00C420DE">
            <w:pPr>
              <w:tabs>
                <w:tab w:val="left" w:pos="810"/>
              </w:tabs>
              <w:ind w:left="810" w:hanging="450"/>
            </w:pPr>
            <w:r>
              <w:t>Is (NAME) still alive?</w:t>
            </w:r>
          </w:p>
        </w:tc>
        <w:tc>
          <w:tcPr>
            <w:tcW w:w="2520" w:type="dxa"/>
          </w:tcPr>
          <w:p w14:paraId="28A5AC04" w14:textId="77777777" w:rsidR="00D45347" w:rsidRDefault="00ED6BB2" w:rsidP="00ED6BB2">
            <w:pPr>
              <w:rPr>
                <w:b/>
              </w:rPr>
            </w:pPr>
            <w:r w:rsidRPr="001F3B76">
              <w:rPr>
                <w:b/>
              </w:rPr>
              <w:t>Has any member of the household died in the p</w:t>
            </w:r>
            <w:r>
              <w:rPr>
                <w:b/>
              </w:rPr>
              <w:t>ast</w:t>
            </w:r>
            <w:r w:rsidRPr="001F3B76">
              <w:rPr>
                <w:b/>
              </w:rPr>
              <w:t xml:space="preserve"> 12 months?</w:t>
            </w:r>
          </w:p>
          <w:p w14:paraId="7A6235D5" w14:textId="77777777" w:rsidR="00ED6BB2" w:rsidRDefault="00ED6BB2" w:rsidP="00ED6BB2">
            <w:pPr>
              <w:rPr>
                <w:b/>
              </w:rPr>
            </w:pPr>
          </w:p>
          <w:p w14:paraId="0DCA8931" w14:textId="639967F7" w:rsidR="00ED6BB2" w:rsidRPr="00ED6BB2" w:rsidRDefault="00ED6BB2" w:rsidP="00ED6BB2">
            <w:pPr>
              <w:rPr>
                <w:b/>
              </w:rPr>
            </w:pPr>
            <w:r w:rsidRPr="001F3B76">
              <w:rPr>
                <w:b/>
              </w:rPr>
              <w:t xml:space="preserve">If yes, confirm </w:t>
            </w:r>
            <w:r w:rsidR="00E6038C">
              <w:rPr>
                <w:b/>
              </w:rPr>
              <w:t>individual’s</w:t>
            </w:r>
            <w:r w:rsidRPr="001F3B76">
              <w:rPr>
                <w:b/>
              </w:rPr>
              <w:t xml:space="preserve"> sex and age. </w:t>
            </w:r>
          </w:p>
        </w:tc>
        <w:tc>
          <w:tcPr>
            <w:tcW w:w="2790" w:type="dxa"/>
          </w:tcPr>
          <w:p w14:paraId="2DFDE183" w14:textId="6F636F91" w:rsidR="00D45347" w:rsidRPr="00994DA1" w:rsidRDefault="00994DA1" w:rsidP="00994DA1">
            <w:pPr>
              <w:pStyle w:val="NoSpacing"/>
              <w:rPr>
                <w:b/>
              </w:rPr>
            </w:pPr>
            <w:r w:rsidRPr="00994DA1">
              <w:rPr>
                <w:b/>
              </w:rPr>
              <w:t xml:space="preserve">Accurate data on mortality and causes of death across all ages </w:t>
            </w:r>
            <w:r>
              <w:rPr>
                <w:b/>
              </w:rPr>
              <w:t xml:space="preserve">and family members </w:t>
            </w:r>
            <w:r w:rsidRPr="00994DA1">
              <w:rPr>
                <w:b/>
              </w:rPr>
              <w:t xml:space="preserve">is required to guide national policies, priorities, and response in relation to demography, health and care, and service provision. </w:t>
            </w:r>
          </w:p>
        </w:tc>
      </w:tr>
      <w:tr w:rsidR="00994DA1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994DA1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994DA1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994DA1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994DA1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1988A8D7" w:rsidR="00ED6D89" w:rsidRPr="000D305F" w:rsidRDefault="00CC6A0C" w:rsidP="00ED6D89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C</w:t>
      </w:r>
      <w:r w:rsidR="006E31C6">
        <w:rPr>
          <w:rFonts w:eastAsia="Arial" w:cstheme="minorHAnsi"/>
          <w:b/>
        </w:rPr>
        <w:t xml:space="preserve">ollected data </w:t>
      </w:r>
      <w:r>
        <w:rPr>
          <w:rFonts w:eastAsia="Arial" w:cstheme="minorHAnsi"/>
          <w:b/>
        </w:rPr>
        <w:t>will fill a gap</w:t>
      </w:r>
      <w:r w:rsidR="000719F8">
        <w:rPr>
          <w:rFonts w:eastAsia="Arial" w:cstheme="minorHAnsi"/>
          <w:b/>
        </w:rPr>
        <w:t xml:space="preserve"> </w:t>
      </w:r>
      <w:r>
        <w:rPr>
          <w:rFonts w:eastAsia="Arial" w:cstheme="minorHAnsi"/>
          <w:b/>
        </w:rPr>
        <w:t xml:space="preserve">on death registration and will </w:t>
      </w:r>
      <w:r w:rsidR="000719F8">
        <w:rPr>
          <w:rFonts w:eastAsia="Arial" w:cstheme="minorHAnsi"/>
          <w:b/>
        </w:rPr>
        <w:t>provide a more accurate picture</w:t>
      </w:r>
      <w:r w:rsidR="00E6038C">
        <w:rPr>
          <w:rFonts w:eastAsia="Arial" w:cstheme="minorHAnsi"/>
          <w:b/>
        </w:rPr>
        <w:t xml:space="preserve"> </w:t>
      </w:r>
      <w:r w:rsidR="00BC1DB2">
        <w:rPr>
          <w:rFonts w:eastAsia="Arial" w:cstheme="minorHAnsi"/>
          <w:b/>
        </w:rPr>
        <w:t>on underreported deaths</w:t>
      </w:r>
      <w:r w:rsidR="000719F8">
        <w:rPr>
          <w:rFonts w:eastAsia="Arial" w:cstheme="minorHAnsi"/>
          <w:b/>
        </w:rPr>
        <w:t xml:space="preserve">. </w:t>
      </w:r>
      <w:r>
        <w:rPr>
          <w:rFonts w:eastAsia="Arial" w:cstheme="minorHAnsi"/>
          <w:b/>
        </w:rPr>
        <w:t xml:space="preserve">Additionally, it will contribute to measuring progress on </w:t>
      </w:r>
      <w:r w:rsidR="00C22313" w:rsidRPr="00F47DE0">
        <w:rPr>
          <w:rFonts w:eastAsia="Arial" w:cstheme="minorHAnsi"/>
          <w:b/>
        </w:rPr>
        <w:t xml:space="preserve">SDG target 17.19 </w:t>
      </w:r>
      <w:r>
        <w:rPr>
          <w:rFonts w:eastAsia="Arial" w:cstheme="minorHAnsi"/>
          <w:b/>
        </w:rPr>
        <w:t xml:space="preserve">that </w:t>
      </w:r>
      <w:r w:rsidR="00910AA8">
        <w:rPr>
          <w:rFonts w:eastAsia="Arial" w:cstheme="minorHAnsi"/>
          <w:b/>
        </w:rPr>
        <w:t>calls for countries</w:t>
      </w:r>
      <w:r w:rsidR="00C22313" w:rsidRPr="00F47DE0">
        <w:rPr>
          <w:rFonts w:eastAsia="Arial" w:cstheme="minorHAnsi"/>
          <w:b/>
        </w:rPr>
        <w:t xml:space="preserve"> to achieve 80% of death registration.</w:t>
      </w:r>
    </w:p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  <w:bookmarkStart w:id="0" w:name="_GoBack"/>
      <w:bookmarkEnd w:id="0"/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2D2A99A3" w:rsidR="006D6AB2" w:rsidRDefault="00D7122E" w:rsidP="00C970EB">
      <w:r w:rsidRPr="00561C0F">
        <w:rPr>
          <w:b/>
        </w:rPr>
        <w:t xml:space="preserve">As a minimum, </w:t>
      </w:r>
      <w:r>
        <w:rPr>
          <w:b/>
        </w:rPr>
        <w:t xml:space="preserve">it should be possible to disaggregate </w:t>
      </w:r>
      <w:r w:rsidRPr="00561C0F">
        <w:rPr>
          <w:b/>
        </w:rPr>
        <w:t>the indicator by sex</w:t>
      </w:r>
      <w:r>
        <w:rPr>
          <w:b/>
        </w:rPr>
        <w:t xml:space="preserve"> and </w:t>
      </w:r>
      <w:r w:rsidRPr="00561C0F">
        <w:rPr>
          <w:b/>
        </w:rPr>
        <w:t>age</w:t>
      </w:r>
      <w:r>
        <w:rPr>
          <w:b/>
        </w:rPr>
        <w:t xml:space="preserve">. </w:t>
      </w:r>
    </w:p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BC1DB2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1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A0DC" w14:textId="77777777" w:rsidR="006769B0" w:rsidRDefault="006769B0" w:rsidP="00034FA5">
      <w:pPr>
        <w:spacing w:after="0" w:line="240" w:lineRule="auto"/>
      </w:pPr>
      <w:r>
        <w:separator/>
      </w:r>
    </w:p>
  </w:endnote>
  <w:endnote w:type="continuationSeparator" w:id="0">
    <w:p w14:paraId="35FE130B" w14:textId="77777777" w:rsidR="006769B0" w:rsidRDefault="006769B0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B9CE" w14:textId="77777777" w:rsidR="006769B0" w:rsidRDefault="006769B0" w:rsidP="00034FA5">
      <w:pPr>
        <w:spacing w:after="0" w:line="240" w:lineRule="auto"/>
      </w:pPr>
      <w:r>
        <w:separator/>
      </w:r>
    </w:p>
  </w:footnote>
  <w:footnote w:type="continuationSeparator" w:id="0">
    <w:p w14:paraId="3553477C" w14:textId="77777777" w:rsidR="006769B0" w:rsidRDefault="006769B0" w:rsidP="00034FA5">
      <w:pPr>
        <w:spacing w:after="0" w:line="240" w:lineRule="auto"/>
      </w:pPr>
      <w:r>
        <w:continuationSeparator/>
      </w:r>
    </w:p>
  </w:footnote>
  <w:footnote w:id="1">
    <w:p w14:paraId="3EF286C3" w14:textId="77777777" w:rsidR="00910AA8" w:rsidRDefault="00910AA8" w:rsidP="00910AA8">
      <w:pPr>
        <w:pStyle w:val="FootnoteText"/>
        <w:rPr>
          <w:rFonts w:eastAsia="Arial" w:cs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F1F7D">
        <w:rPr>
          <w:rFonts w:eastAsia="Arial" w:cstheme="minorHAnsi"/>
          <w:sz w:val="22"/>
          <w:szCs w:val="22"/>
        </w:rPr>
        <w:t>WHO, 2012, World Health Statistics</w:t>
      </w:r>
      <w:r>
        <w:rPr>
          <w:rFonts w:eastAsia="Arial" w:cstheme="minorHAnsi"/>
          <w:sz w:val="22"/>
          <w:szCs w:val="22"/>
        </w:rPr>
        <w:t xml:space="preserve">. </w:t>
      </w:r>
      <w:r w:rsidRPr="00246301">
        <w:rPr>
          <w:rFonts w:eastAsia="Arial" w:cstheme="minorHAnsi"/>
          <w:sz w:val="22"/>
          <w:szCs w:val="22"/>
        </w:rPr>
        <w:t>https://www.who.int/gho/publications/world_health_statistics/2012/en/</w:t>
      </w:r>
      <w:r w:rsidRPr="006F1F7D">
        <w:rPr>
          <w:rFonts w:eastAsia="Arial" w:cstheme="minorHAnsi"/>
          <w:sz w:val="22"/>
          <w:szCs w:val="22"/>
        </w:rPr>
        <w:t xml:space="preserve">; </w:t>
      </w:r>
    </w:p>
    <w:p w14:paraId="7928BF2D" w14:textId="77777777" w:rsidR="00910AA8" w:rsidRPr="006F1F7D" w:rsidRDefault="00910AA8" w:rsidP="00910AA8">
      <w:pPr>
        <w:pStyle w:val="FootnoteText"/>
        <w:rPr>
          <w:lang w:val="en-GB"/>
        </w:rPr>
      </w:pPr>
      <w:r w:rsidRPr="006F1F7D">
        <w:rPr>
          <w:rFonts w:eastAsia="Arial" w:cstheme="minorHAnsi"/>
          <w:sz w:val="22"/>
          <w:szCs w:val="22"/>
        </w:rPr>
        <w:t>Data2X, CRVS</w:t>
      </w:r>
      <w:r>
        <w:rPr>
          <w:rFonts w:eastAsia="Arial" w:cstheme="minorHAnsi"/>
          <w:sz w:val="22"/>
          <w:szCs w:val="22"/>
        </w:rPr>
        <w:t xml:space="preserve">. </w:t>
      </w:r>
      <w:r w:rsidRPr="00773189">
        <w:rPr>
          <w:rFonts w:eastAsia="Arial" w:cstheme="minorHAnsi"/>
          <w:sz w:val="22"/>
          <w:szCs w:val="22"/>
        </w:rPr>
        <w:t>https://www.data2x.org/partnerships/crvs/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880"/>
    <w:multiLevelType w:val="hybridMultilevel"/>
    <w:tmpl w:val="C6CE40E4"/>
    <w:lvl w:ilvl="0" w:tplc="FEBE5B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3"/>
  </w:num>
  <w:num w:numId="11">
    <w:abstractNumId w:val="24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36315"/>
    <w:rsid w:val="000719F8"/>
    <w:rsid w:val="000763CC"/>
    <w:rsid w:val="0008466C"/>
    <w:rsid w:val="00092684"/>
    <w:rsid w:val="00097918"/>
    <w:rsid w:val="000B2790"/>
    <w:rsid w:val="000D305F"/>
    <w:rsid w:val="000E1EC7"/>
    <w:rsid w:val="00103EE0"/>
    <w:rsid w:val="001168C7"/>
    <w:rsid w:val="0011742D"/>
    <w:rsid w:val="00123FA0"/>
    <w:rsid w:val="00156483"/>
    <w:rsid w:val="00175285"/>
    <w:rsid w:val="00186284"/>
    <w:rsid w:val="001C34C8"/>
    <w:rsid w:val="001E5370"/>
    <w:rsid w:val="001E73BD"/>
    <w:rsid w:val="001F3B76"/>
    <w:rsid w:val="00220325"/>
    <w:rsid w:val="0022159F"/>
    <w:rsid w:val="00244D2F"/>
    <w:rsid w:val="00246301"/>
    <w:rsid w:val="0025036A"/>
    <w:rsid w:val="00264A83"/>
    <w:rsid w:val="00282253"/>
    <w:rsid w:val="002D5D2A"/>
    <w:rsid w:val="003528E7"/>
    <w:rsid w:val="00383E4F"/>
    <w:rsid w:val="003A7733"/>
    <w:rsid w:val="003B03C8"/>
    <w:rsid w:val="003C266C"/>
    <w:rsid w:val="003D45B0"/>
    <w:rsid w:val="003D6722"/>
    <w:rsid w:val="003F22B6"/>
    <w:rsid w:val="0040148E"/>
    <w:rsid w:val="00406E1B"/>
    <w:rsid w:val="00424E6D"/>
    <w:rsid w:val="00434C46"/>
    <w:rsid w:val="004B78F8"/>
    <w:rsid w:val="004F3DF6"/>
    <w:rsid w:val="00510943"/>
    <w:rsid w:val="00511CDE"/>
    <w:rsid w:val="00583BF4"/>
    <w:rsid w:val="005964B2"/>
    <w:rsid w:val="005B2FEB"/>
    <w:rsid w:val="005B77B9"/>
    <w:rsid w:val="005C2014"/>
    <w:rsid w:val="00614F55"/>
    <w:rsid w:val="0062753F"/>
    <w:rsid w:val="0065151E"/>
    <w:rsid w:val="00653055"/>
    <w:rsid w:val="00666734"/>
    <w:rsid w:val="006769B0"/>
    <w:rsid w:val="0069638E"/>
    <w:rsid w:val="0069710E"/>
    <w:rsid w:val="006A2C93"/>
    <w:rsid w:val="006B469E"/>
    <w:rsid w:val="006D6AB2"/>
    <w:rsid w:val="006E31C6"/>
    <w:rsid w:val="006F1F7D"/>
    <w:rsid w:val="00702693"/>
    <w:rsid w:val="00733F87"/>
    <w:rsid w:val="00736F09"/>
    <w:rsid w:val="00741536"/>
    <w:rsid w:val="007426AE"/>
    <w:rsid w:val="007654F1"/>
    <w:rsid w:val="00773189"/>
    <w:rsid w:val="00776B0C"/>
    <w:rsid w:val="0079250A"/>
    <w:rsid w:val="007D3C54"/>
    <w:rsid w:val="007F36EC"/>
    <w:rsid w:val="00804A08"/>
    <w:rsid w:val="00833C16"/>
    <w:rsid w:val="00867A85"/>
    <w:rsid w:val="008A0329"/>
    <w:rsid w:val="008A5148"/>
    <w:rsid w:val="008A5F92"/>
    <w:rsid w:val="008C68F9"/>
    <w:rsid w:val="008D519B"/>
    <w:rsid w:val="008E2A1E"/>
    <w:rsid w:val="008E4646"/>
    <w:rsid w:val="00910AA8"/>
    <w:rsid w:val="00911980"/>
    <w:rsid w:val="00911C8F"/>
    <w:rsid w:val="00912857"/>
    <w:rsid w:val="00936EF4"/>
    <w:rsid w:val="00940694"/>
    <w:rsid w:val="00944771"/>
    <w:rsid w:val="00950074"/>
    <w:rsid w:val="009679CF"/>
    <w:rsid w:val="00980229"/>
    <w:rsid w:val="009854DE"/>
    <w:rsid w:val="00987251"/>
    <w:rsid w:val="00991F22"/>
    <w:rsid w:val="00994DA1"/>
    <w:rsid w:val="009D1D04"/>
    <w:rsid w:val="009F1DB3"/>
    <w:rsid w:val="00A10C26"/>
    <w:rsid w:val="00A50F80"/>
    <w:rsid w:val="00A65027"/>
    <w:rsid w:val="00A67ECE"/>
    <w:rsid w:val="00A73DE5"/>
    <w:rsid w:val="00A7716E"/>
    <w:rsid w:val="00A916C6"/>
    <w:rsid w:val="00AA1C8C"/>
    <w:rsid w:val="00AE3A24"/>
    <w:rsid w:val="00AF1F6A"/>
    <w:rsid w:val="00B01ED7"/>
    <w:rsid w:val="00B21702"/>
    <w:rsid w:val="00B65DEC"/>
    <w:rsid w:val="00B71A43"/>
    <w:rsid w:val="00B816BC"/>
    <w:rsid w:val="00B96B5C"/>
    <w:rsid w:val="00BC1DB2"/>
    <w:rsid w:val="00BD0713"/>
    <w:rsid w:val="00BE4C32"/>
    <w:rsid w:val="00BF4719"/>
    <w:rsid w:val="00BF4A0C"/>
    <w:rsid w:val="00BF4DFF"/>
    <w:rsid w:val="00C02557"/>
    <w:rsid w:val="00C13FF0"/>
    <w:rsid w:val="00C22313"/>
    <w:rsid w:val="00C41F8E"/>
    <w:rsid w:val="00C420DE"/>
    <w:rsid w:val="00C551ED"/>
    <w:rsid w:val="00C970EB"/>
    <w:rsid w:val="00CA2FD8"/>
    <w:rsid w:val="00CB1C12"/>
    <w:rsid w:val="00CC6A0C"/>
    <w:rsid w:val="00CE2F0A"/>
    <w:rsid w:val="00CE7ABE"/>
    <w:rsid w:val="00D00F57"/>
    <w:rsid w:val="00D15788"/>
    <w:rsid w:val="00D34E2E"/>
    <w:rsid w:val="00D36A1D"/>
    <w:rsid w:val="00D45347"/>
    <w:rsid w:val="00D7122E"/>
    <w:rsid w:val="00D74094"/>
    <w:rsid w:val="00D749DB"/>
    <w:rsid w:val="00D849EF"/>
    <w:rsid w:val="00D9355E"/>
    <w:rsid w:val="00DA1513"/>
    <w:rsid w:val="00DB153F"/>
    <w:rsid w:val="00DB3A64"/>
    <w:rsid w:val="00E25128"/>
    <w:rsid w:val="00E3058F"/>
    <w:rsid w:val="00E3695A"/>
    <w:rsid w:val="00E425FF"/>
    <w:rsid w:val="00E42624"/>
    <w:rsid w:val="00E45787"/>
    <w:rsid w:val="00E53275"/>
    <w:rsid w:val="00E6038C"/>
    <w:rsid w:val="00E80C15"/>
    <w:rsid w:val="00E85C2D"/>
    <w:rsid w:val="00E92233"/>
    <w:rsid w:val="00EA2479"/>
    <w:rsid w:val="00EB2F4E"/>
    <w:rsid w:val="00ED307C"/>
    <w:rsid w:val="00ED6BB2"/>
    <w:rsid w:val="00ED6D89"/>
    <w:rsid w:val="00F11175"/>
    <w:rsid w:val="00F1343B"/>
    <w:rsid w:val="00F304C7"/>
    <w:rsid w:val="00F402D7"/>
    <w:rsid w:val="00F47DE0"/>
    <w:rsid w:val="00FA4713"/>
    <w:rsid w:val="00FC2ECE"/>
    <w:rsid w:val="00FC5D7F"/>
    <w:rsid w:val="00FF03CC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1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F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74C9BD603414C9CE0B14B0976E529" ma:contentTypeVersion="8" ma:contentTypeDescription="Create a new document." ma:contentTypeScope="" ma:versionID="e36461149daf20644bac390d186625a4">
  <xsd:schema xmlns:xsd="http://www.w3.org/2001/XMLSchema" xmlns:xs="http://www.w3.org/2001/XMLSchema" xmlns:p="http://schemas.microsoft.com/office/2006/metadata/properties" xmlns:ns2="7b29bd5b-54fd-4cc1-abd6-c17bf9097b16" xmlns:ns3="b8e20eae-564f-4d05-a466-e2890a4ae8d9" targetNamespace="http://schemas.microsoft.com/office/2006/metadata/properties" ma:root="true" ma:fieldsID="739b264789a1f8be270b711c0e3adfa4" ns2:_="" ns3:_="">
    <xsd:import namespace="7b29bd5b-54fd-4cc1-abd6-c17bf9097b16"/>
    <xsd:import namespace="b8e20eae-564f-4d05-a466-e2890a4ae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9bd5b-54fd-4cc1-abd6-c17bf909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0eae-564f-4d05-a466-e2890a4ae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5709-CA09-4A34-91CF-A102F92FD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9bd5b-54fd-4cc1-abd6-c17bf9097b16"/>
    <ds:schemaRef ds:uri="b8e20eae-564f-4d05-a466-e2890a4ae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2BFA1-5983-4416-BC0A-D709CB1137E8}">
  <ds:schemaRefs>
    <ds:schemaRef ds:uri="b8e20eae-564f-4d05-a466-e2890a4ae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b29bd5b-54fd-4cc1-abd6-c17bf9097b1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E1653-EC21-4D3D-86B6-C588B09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Aleksandr Mihnovits</cp:lastModifiedBy>
  <cp:revision>4</cp:revision>
  <dcterms:created xsi:type="dcterms:W3CDTF">2019-03-14T12:22:00Z</dcterms:created>
  <dcterms:modified xsi:type="dcterms:W3CDTF">2019-03-14T13:01:00Z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0x01010072074C9BD603414C9CE0B14B0976E529</vt:lpwstr>
  </property>
  <property fmtid="{D5CDD505-2E9C-101B-9397-08002B2CF9AE}" pid="3" name="_dlc_DocIdItemGuid">
    <vt:lpwstr>8dbce2ae-9a44-433b-9767-e215dbbf29da</vt:lpwstr>
  </property>
</Properties>
</file>